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6E1C58AA" w:rsidR="00113C5A" w:rsidRPr="00455A3C" w:rsidRDefault="00113C5A" w:rsidP="00AC35C4">
      <w:pPr>
        <w:pStyle w:val="F2-zkladn"/>
        <w:rPr>
          <w:b/>
          <w:sz w:val="28"/>
          <w:szCs w:val="28"/>
        </w:rPr>
      </w:pPr>
    </w:p>
    <w:p w14:paraId="3DFA4004" w14:textId="77777777"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AC736E3">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46FF041"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6C99D4E7" w:rsidR="000A2833" w:rsidRPr="00455A3C" w:rsidRDefault="0018797C" w:rsidP="00AC35C4">
      <w:pPr>
        <w:pStyle w:val="F2-zkladn"/>
        <w:tabs>
          <w:tab w:val="right" w:pos="9070"/>
        </w:tabs>
      </w:pPr>
      <w:r>
        <w:rPr>
          <w:noProof/>
        </w:rPr>
        <mc:AlternateContent>
          <mc:Choice Requires="wps">
            <w:drawing>
              <wp:inline distT="0" distB="0" distL="0" distR="0" wp14:anchorId="69E119FC" wp14:editId="0CDB8B15">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01D3202"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611687">
        <w:t>1</w:t>
      </w:r>
      <w:r w:rsidR="0057387E">
        <w:t>6</w:t>
      </w:r>
      <w:r w:rsidR="00A30105" w:rsidRPr="00455A3C">
        <w:t xml:space="preserve">. </w:t>
      </w:r>
      <w:r w:rsidR="00534D3B">
        <w:t>února</w:t>
      </w:r>
      <w:r w:rsidR="00A30105" w:rsidRPr="00455A3C">
        <w:t xml:space="preserve"> 20</w:t>
      </w:r>
      <w:r w:rsidR="00A7414F" w:rsidRPr="00455A3C">
        <w:t>2</w:t>
      </w:r>
      <w:r w:rsidR="00534D3B">
        <w:t>2</w:t>
      </w:r>
    </w:p>
    <w:p w14:paraId="06416E19" w14:textId="59D0B979" w:rsidR="000C727D" w:rsidRDefault="000C727D" w:rsidP="00303102">
      <w:pPr>
        <w:spacing w:after="120"/>
        <w:rPr>
          <w:b/>
          <w:sz w:val="28"/>
          <w:szCs w:val="28"/>
        </w:rPr>
      </w:pPr>
    </w:p>
    <w:p w14:paraId="563CBE10" w14:textId="0E8D0A0B" w:rsidR="00303102" w:rsidRPr="00303102" w:rsidRDefault="00ED0F0B" w:rsidP="00611687">
      <w:pPr>
        <w:spacing w:after="120"/>
        <w:rPr>
          <w:b/>
          <w:sz w:val="28"/>
          <w:szCs w:val="28"/>
        </w:rPr>
      </w:pPr>
      <w:proofErr w:type="spellStart"/>
      <w:r w:rsidRPr="00ED0F0B">
        <w:rPr>
          <w:b/>
          <w:sz w:val="28"/>
          <w:szCs w:val="28"/>
        </w:rPr>
        <w:t>Fidelity</w:t>
      </w:r>
      <w:proofErr w:type="spellEnd"/>
      <w:r w:rsidRPr="00ED0F0B">
        <w:rPr>
          <w:b/>
          <w:sz w:val="28"/>
          <w:szCs w:val="28"/>
        </w:rPr>
        <w:t xml:space="preserve"> International: </w:t>
      </w:r>
      <w:r w:rsidR="0057387E">
        <w:rPr>
          <w:b/>
          <w:sz w:val="28"/>
          <w:szCs w:val="28"/>
        </w:rPr>
        <w:t>Udržitelné 5G</w:t>
      </w:r>
    </w:p>
    <w:p w14:paraId="5E9AC923" w14:textId="2A686F06" w:rsidR="0057387E" w:rsidRPr="0057387E" w:rsidRDefault="0057387E" w:rsidP="0057387E">
      <w:pPr>
        <w:pStyle w:val="body-l"/>
        <w:shd w:val="clear" w:color="auto" w:fill="FFFFFF"/>
        <w:jc w:val="both"/>
        <w:rPr>
          <w:rFonts w:asciiTheme="minorHAnsi" w:hAnsiTheme="minorHAnsi" w:cstheme="minorHAnsi"/>
          <w:b/>
          <w:color w:val="000000" w:themeColor="text1"/>
        </w:rPr>
      </w:pPr>
      <w:r w:rsidRPr="006855B5">
        <w:rPr>
          <w:rFonts w:asciiTheme="minorHAnsi" w:hAnsiTheme="minorHAnsi" w:cstheme="minorHAnsi"/>
          <w:b/>
          <w:color w:val="000000" w:themeColor="text1"/>
        </w:rPr>
        <w:t>Investování do sítí 5G je klíčovým tématem letošního roku. S tím souvisí i průmyslová automatizace. Neméně důležitá je také otázka udržitelnosti, metodiky měření a celkově</w:t>
      </w:r>
      <w:r>
        <w:rPr>
          <w:rFonts w:asciiTheme="minorHAnsi" w:hAnsiTheme="minorHAnsi" w:cstheme="minorHAnsi"/>
          <w:b/>
          <w:color w:val="000000" w:themeColor="text1"/>
        </w:rPr>
        <w:t>,</w:t>
      </w:r>
      <w:r w:rsidRPr="006855B5">
        <w:rPr>
          <w:rFonts w:asciiTheme="minorHAnsi" w:hAnsiTheme="minorHAnsi" w:cstheme="minorHAnsi"/>
          <w:b/>
          <w:color w:val="000000" w:themeColor="text1"/>
        </w:rPr>
        <w:t xml:space="preserve"> zda se společnosti chovají podle udržitelných principů.</w:t>
      </w:r>
    </w:p>
    <w:p w14:paraId="0E59C01F" w14:textId="34F539B9" w:rsidR="00303102" w:rsidRDefault="0057387E" w:rsidP="00303102">
      <w:pPr>
        <w:spacing w:after="120"/>
        <w:rPr>
          <w:b/>
        </w:rPr>
      </w:pPr>
      <w:r>
        <w:rPr>
          <w:b/>
        </w:rPr>
        <w:t>Rychlejší zavádění 5G</w:t>
      </w:r>
    </w:p>
    <w:p w14:paraId="604B2B28" w14:textId="0F37A28E" w:rsidR="0057387E" w:rsidRPr="0057387E" w:rsidRDefault="0057387E" w:rsidP="0057387E">
      <w:pPr>
        <w:shd w:val="clear" w:color="auto" w:fill="FFFFFF"/>
        <w:spacing w:line="240" w:lineRule="auto"/>
      </w:pPr>
      <w:r w:rsidRPr="0057387E">
        <w:t>V letošním roce by mělo dojít k dalším investicím do trhu 5G na celém světě. Nástup předplatných 5G je rychlejší než u 4G a společnost Ericsson předpovídá, že do roku 2027 bude celosvětově 4,4 miliardy předplacených služeb 5G, což bude představovat 49 % všech mobilních předplatných (graf 1).</w:t>
      </w:r>
    </w:p>
    <w:p w14:paraId="1E1AB6B4" w14:textId="0E043883" w:rsidR="0057387E" w:rsidRPr="0057387E" w:rsidRDefault="0057387E" w:rsidP="0057387E">
      <w:pPr>
        <w:shd w:val="clear" w:color="auto" w:fill="FFFFFF"/>
        <w:spacing w:line="240" w:lineRule="auto"/>
      </w:pPr>
      <w:r w:rsidRPr="0057387E">
        <w:t>Regionální rozdíly při zavádění 5G však budou přetrvávat (graf 2). Čína je klíčovým motorem rozšiřování 5G a v průběhu roku 2022 svou investiční aktivitu v této oblasti nadále zrychlí, a to i přes nevýrazné prodeje 5G telefonů v této zemi v roce 2021. Rychlým tempem postupuje komercializace 5G v USA. Američtí operátoři mobilních sítí loni utratili téměř 100 miliard dolarů za nákupy spektra ve středním pásmu pro podporu 5G. Současně investují do podpůrného komunikačního vybavení. Evropa v zavádění 5G zatím zaostávala, ale v roce 2022 by měla na tomto poli zrychlit. Rovněž na dalších významných trzích, jako je Indie, postupuje přidělování pásem spektra pro 5G.</w:t>
      </w:r>
    </w:p>
    <w:p w14:paraId="01B26C6D" w14:textId="5C71FC1D" w:rsidR="0057387E" w:rsidRPr="0057387E" w:rsidRDefault="0057387E" w:rsidP="0057387E">
      <w:pPr>
        <w:shd w:val="clear" w:color="auto" w:fill="FFFFFF"/>
        <w:spacing w:line="240" w:lineRule="auto"/>
      </w:pPr>
      <w:r w:rsidRPr="0057387E">
        <w:t>Navzdory obavám z nedostatku čipů, kvůli kterým někteří spotřebitelé odkládali nákupy až po uvedení nových modelů, se telefony prodávají velmi dobře. Vzhledem k tomu, že Apple je zákazníkem TSCM – dodavatele polovodičů, si může do značné míry diktovat dodávky čipů podle své potřeby. Vzhledem k narušení dodavatelského řetězce společnost Apple ve svých nedávných výsledcích vykázala vzácně nízké tržby, ale nový produktový cyklus iPhonu 13 nakonec, zdá se, nedopadne zas tak špatně, jak někteří čekali.</w:t>
      </w:r>
    </w:p>
    <w:p w14:paraId="22FE0237" w14:textId="0F69F5DB" w:rsidR="0057387E" w:rsidRDefault="0057387E" w:rsidP="0057387E">
      <w:pPr>
        <w:spacing w:after="120"/>
        <w:rPr>
          <w:b/>
        </w:rPr>
      </w:pPr>
      <w:r>
        <w:rPr>
          <w:b/>
        </w:rPr>
        <w:t>Graf 1: Počet mobilních předplatitelů podle technologií (v miliardách)</w:t>
      </w:r>
    </w:p>
    <w:p w14:paraId="372D02A6" w14:textId="2551ECFC" w:rsidR="00303102" w:rsidRDefault="00303102" w:rsidP="007238DA">
      <w:pPr>
        <w:spacing w:after="120"/>
        <w:rPr>
          <w:b/>
        </w:rPr>
      </w:pPr>
    </w:p>
    <w:p w14:paraId="1C02A350" w14:textId="4A814EF7" w:rsidR="00303102" w:rsidRDefault="00303102" w:rsidP="007238DA">
      <w:pPr>
        <w:spacing w:after="120"/>
        <w:rPr>
          <w:b/>
        </w:rPr>
      </w:pPr>
    </w:p>
    <w:p w14:paraId="2F5114E1" w14:textId="2CE9E2A0" w:rsidR="00303102" w:rsidRDefault="00303102" w:rsidP="007238DA">
      <w:pPr>
        <w:spacing w:after="120"/>
        <w:rPr>
          <w:b/>
        </w:rPr>
      </w:pPr>
    </w:p>
    <w:p w14:paraId="4E5D35D9" w14:textId="7CE83922" w:rsidR="00303102" w:rsidRDefault="00303102" w:rsidP="007238DA">
      <w:pPr>
        <w:spacing w:after="120"/>
        <w:rPr>
          <w:b/>
        </w:rPr>
      </w:pPr>
    </w:p>
    <w:p w14:paraId="1AEDA3C0" w14:textId="62873F05" w:rsidR="00303102" w:rsidRDefault="00303102" w:rsidP="007238DA">
      <w:pPr>
        <w:spacing w:after="120"/>
        <w:rPr>
          <w:b/>
        </w:rPr>
      </w:pPr>
    </w:p>
    <w:p w14:paraId="572A6EA9" w14:textId="77777777" w:rsidR="00303102" w:rsidRDefault="00303102" w:rsidP="007238DA">
      <w:pPr>
        <w:spacing w:after="120"/>
        <w:rPr>
          <w:b/>
        </w:rPr>
      </w:pPr>
    </w:p>
    <w:p w14:paraId="5AA7850D" w14:textId="69C39ECA" w:rsidR="000767DF" w:rsidRDefault="000767DF" w:rsidP="00BD223A">
      <w:pPr>
        <w:spacing w:after="120"/>
        <w:rPr>
          <w:b/>
        </w:rPr>
      </w:pPr>
    </w:p>
    <w:p w14:paraId="3851E5AC" w14:textId="3FE33411" w:rsidR="000767DF" w:rsidRDefault="0057387E" w:rsidP="00BD223A">
      <w:pPr>
        <w:spacing w:after="120"/>
        <w:rPr>
          <w:b/>
        </w:rPr>
      </w:pPr>
      <w:r w:rsidRPr="006855B5">
        <w:rPr>
          <w:rFonts w:cstheme="minorHAnsi"/>
          <w:noProof/>
          <w:color w:val="000000" w:themeColor="text1"/>
          <w:sz w:val="24"/>
          <w:szCs w:val="24"/>
          <w:shd w:val="clear" w:color="auto" w:fill="FFFFFF"/>
        </w:rPr>
        <w:lastRenderedPageBreak/>
        <w:drawing>
          <wp:anchor distT="0" distB="0" distL="114300" distR="114300" simplePos="0" relativeHeight="251658240" behindDoc="1" locked="0" layoutInCell="1" allowOverlap="1" wp14:anchorId="6B39A8E9" wp14:editId="17EADE91">
            <wp:simplePos x="0" y="0"/>
            <wp:positionH relativeFrom="column">
              <wp:posOffset>1270</wp:posOffset>
            </wp:positionH>
            <wp:positionV relativeFrom="paragraph">
              <wp:posOffset>1270</wp:posOffset>
            </wp:positionV>
            <wp:extent cx="2943225" cy="4229100"/>
            <wp:effectExtent l="0" t="0" r="9525" b="0"/>
            <wp:wrapTight wrapText="bothSides">
              <wp:wrapPolygon edited="0">
                <wp:start x="0" y="0"/>
                <wp:lineTo x="0" y="21503"/>
                <wp:lineTo x="21530" y="21503"/>
                <wp:lineTo x="2153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43225" cy="4229100"/>
                    </a:xfrm>
                    <a:prstGeom prst="rect">
                      <a:avLst/>
                    </a:prstGeom>
                  </pic:spPr>
                </pic:pic>
              </a:graphicData>
            </a:graphic>
          </wp:anchor>
        </w:drawing>
      </w:r>
    </w:p>
    <w:p w14:paraId="64D1CFD6" w14:textId="77777777" w:rsidR="007B67AD" w:rsidRDefault="007B67AD" w:rsidP="000767DF">
      <w:pPr>
        <w:spacing w:after="210" w:line="240" w:lineRule="auto"/>
      </w:pPr>
    </w:p>
    <w:p w14:paraId="2546C768" w14:textId="77777777" w:rsidR="007B67AD" w:rsidRDefault="007B67AD" w:rsidP="000767DF">
      <w:pPr>
        <w:spacing w:after="210" w:line="240" w:lineRule="auto"/>
      </w:pPr>
    </w:p>
    <w:p w14:paraId="279EE368" w14:textId="77777777" w:rsidR="007B67AD" w:rsidRDefault="007B67AD" w:rsidP="000767DF">
      <w:pPr>
        <w:spacing w:after="210" w:line="240" w:lineRule="auto"/>
      </w:pPr>
    </w:p>
    <w:p w14:paraId="707B93C3" w14:textId="77777777" w:rsidR="007B67AD" w:rsidRDefault="007B67AD" w:rsidP="000767DF">
      <w:pPr>
        <w:spacing w:after="210" w:line="240" w:lineRule="auto"/>
      </w:pPr>
    </w:p>
    <w:p w14:paraId="7682A216" w14:textId="77777777" w:rsidR="007B67AD" w:rsidRDefault="007B67AD" w:rsidP="000767DF">
      <w:pPr>
        <w:spacing w:after="210" w:line="240" w:lineRule="auto"/>
      </w:pPr>
    </w:p>
    <w:p w14:paraId="36174DA3" w14:textId="77777777" w:rsidR="007B67AD" w:rsidRDefault="007B67AD" w:rsidP="000767DF">
      <w:pPr>
        <w:spacing w:after="210" w:line="240" w:lineRule="auto"/>
      </w:pPr>
    </w:p>
    <w:p w14:paraId="1B8AF5D3" w14:textId="77777777" w:rsidR="007B67AD" w:rsidRDefault="007B67AD" w:rsidP="000767DF">
      <w:pPr>
        <w:spacing w:after="210" w:line="240" w:lineRule="auto"/>
      </w:pPr>
    </w:p>
    <w:p w14:paraId="14B1185B" w14:textId="77777777" w:rsidR="007B67AD" w:rsidRDefault="007B67AD" w:rsidP="000767DF">
      <w:pPr>
        <w:spacing w:after="210" w:line="240" w:lineRule="auto"/>
      </w:pPr>
    </w:p>
    <w:p w14:paraId="4362821F" w14:textId="77777777" w:rsidR="007B67AD" w:rsidRDefault="007B67AD" w:rsidP="000767DF">
      <w:pPr>
        <w:spacing w:after="210" w:line="240" w:lineRule="auto"/>
      </w:pPr>
    </w:p>
    <w:p w14:paraId="2927D12A" w14:textId="77777777" w:rsidR="007B67AD" w:rsidRDefault="007B67AD" w:rsidP="000767DF">
      <w:pPr>
        <w:spacing w:after="210" w:line="240" w:lineRule="auto"/>
      </w:pPr>
    </w:p>
    <w:p w14:paraId="6858F133" w14:textId="77777777" w:rsidR="007B67AD" w:rsidRDefault="007B67AD" w:rsidP="000767DF">
      <w:pPr>
        <w:spacing w:after="210" w:line="240" w:lineRule="auto"/>
      </w:pPr>
    </w:p>
    <w:p w14:paraId="643F1898" w14:textId="77777777" w:rsidR="007B67AD" w:rsidRDefault="007B67AD" w:rsidP="000767DF">
      <w:pPr>
        <w:spacing w:after="210" w:line="240" w:lineRule="auto"/>
      </w:pPr>
    </w:p>
    <w:p w14:paraId="74255ABD" w14:textId="77777777" w:rsidR="007B67AD" w:rsidRDefault="007B67AD" w:rsidP="000767DF">
      <w:pPr>
        <w:spacing w:after="210" w:line="240" w:lineRule="auto"/>
      </w:pPr>
    </w:p>
    <w:p w14:paraId="037642D1" w14:textId="77777777" w:rsidR="007B67AD" w:rsidRDefault="007B67AD" w:rsidP="000767DF">
      <w:pPr>
        <w:spacing w:after="210" w:line="240" w:lineRule="auto"/>
      </w:pPr>
    </w:p>
    <w:p w14:paraId="7505451B" w14:textId="77777777" w:rsidR="007B67AD" w:rsidRPr="007B67AD" w:rsidRDefault="007B67AD" w:rsidP="007B67AD">
      <w:pPr>
        <w:shd w:val="clear" w:color="auto" w:fill="FFFFFF"/>
        <w:spacing w:line="240" w:lineRule="auto"/>
        <w:rPr>
          <w:b/>
        </w:rPr>
      </w:pPr>
      <w:r w:rsidRPr="007B67AD">
        <w:rPr>
          <w:b/>
        </w:rPr>
        <w:t>Graf 2: Mobilní předplatné podle regionu a technologie (%)</w:t>
      </w:r>
    </w:p>
    <w:p w14:paraId="45E7D58C" w14:textId="0395DD0A" w:rsidR="007B67AD" w:rsidRDefault="007B67AD" w:rsidP="000767DF">
      <w:pPr>
        <w:spacing w:after="210" w:line="240" w:lineRule="auto"/>
      </w:pPr>
      <w:r w:rsidRPr="006855B5">
        <w:rPr>
          <w:rFonts w:cstheme="minorHAnsi"/>
          <w:b/>
          <w:noProof/>
          <w:color w:val="000000" w:themeColor="text1"/>
          <w:sz w:val="24"/>
          <w:szCs w:val="24"/>
          <w:shd w:val="clear" w:color="auto" w:fill="FFFFFF"/>
        </w:rPr>
        <w:drawing>
          <wp:inline distT="0" distB="0" distL="0" distR="0" wp14:anchorId="274D84BA" wp14:editId="63E9A0F8">
            <wp:extent cx="3238500" cy="291864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44915" cy="2924429"/>
                    </a:xfrm>
                    <a:prstGeom prst="rect">
                      <a:avLst/>
                    </a:prstGeom>
                  </pic:spPr>
                </pic:pic>
              </a:graphicData>
            </a:graphic>
          </wp:inline>
        </w:drawing>
      </w:r>
    </w:p>
    <w:p w14:paraId="62115C28" w14:textId="77777777" w:rsidR="007B67AD" w:rsidRPr="007B67AD" w:rsidRDefault="007B67AD" w:rsidP="000767DF">
      <w:pPr>
        <w:spacing w:after="210" w:line="240" w:lineRule="auto"/>
      </w:pPr>
      <w:r w:rsidRPr="007B67AD">
        <w:t>Jak připustily společnosti Ericsson nebo Nokia, nedostatek čipů se podepsal na tempu nasazování základnových stanic 5G. Celkově je však nástup 5G rychlejší než u předchozích standardů. Vzhledem k této dynamice mezi nabídkou a poptávkou těžily polovodičové firmy ze své rostoucí cenové síly, byť tlak na dodavatelské řetězce by měl v průběhu roku 2022 pomalu polevovat.</w:t>
      </w:r>
    </w:p>
    <w:p w14:paraId="13EF19BB" w14:textId="68DCA002" w:rsidR="007B67AD" w:rsidRPr="007B67AD" w:rsidRDefault="007B67AD" w:rsidP="005E66A3">
      <w:pPr>
        <w:spacing w:after="210" w:line="240" w:lineRule="auto"/>
      </w:pPr>
      <w:r w:rsidRPr="007B67AD">
        <w:lastRenderedPageBreak/>
        <w:t>Existuje potenciál pro další růst titulů z odvětví komunikačního zařízení podporujících zavádění 5G. Ericsson a Nokia budou pravděpodobně i nadále mezi nimi. Společnost Ericsson ztratila v Číně, ale získala zakázky s vysokou marží v USA a společnost Nokia by se mohla dočkat obratu, který bude podpořen silnější poptávkou a pravděpodobným zvýšením podílu na trhu.</w:t>
      </w:r>
    </w:p>
    <w:p w14:paraId="1EBEDC70" w14:textId="77777777" w:rsidR="007B67AD" w:rsidRPr="007B67AD" w:rsidRDefault="007B67AD" w:rsidP="007B67AD">
      <w:r w:rsidRPr="007B67AD">
        <w:rPr>
          <w:i/>
          <w:iCs/>
        </w:rPr>
        <w:t xml:space="preserve">„Pravděpodobně přichází také velké produktové cykly v oblasti přenosu a směrování. S tím, jak telekomunikační společnosti zavádějí sítě 5G, potřebují nejen základnové stanice, ale musí také posílit klíčovou infrastrukturu. Akcie společností, jako jsou Cisco, </w:t>
      </w:r>
      <w:proofErr w:type="spellStart"/>
      <w:r w:rsidRPr="007B67AD">
        <w:rPr>
          <w:i/>
          <w:iCs/>
        </w:rPr>
        <w:t>Ciena</w:t>
      </w:r>
      <w:proofErr w:type="spellEnd"/>
      <w:r w:rsidRPr="007B67AD">
        <w:rPr>
          <w:i/>
          <w:iCs/>
        </w:rPr>
        <w:t xml:space="preserve"> a </w:t>
      </w:r>
      <w:proofErr w:type="spellStart"/>
      <w:r w:rsidRPr="007B67AD">
        <w:rPr>
          <w:i/>
          <w:iCs/>
        </w:rPr>
        <w:t>Juniper</w:t>
      </w:r>
      <w:proofErr w:type="spellEnd"/>
      <w:r w:rsidRPr="007B67AD">
        <w:rPr>
          <w:i/>
          <w:iCs/>
        </w:rPr>
        <w:t>, mají předpoklady z tohoto trendu těžit,“</w:t>
      </w:r>
      <w:r w:rsidRPr="007B67AD">
        <w:t xml:space="preserve"> říká Jon </w:t>
      </w:r>
      <w:proofErr w:type="spellStart"/>
      <w:r w:rsidRPr="007B67AD">
        <w:t>Guinness</w:t>
      </w:r>
      <w:proofErr w:type="spellEnd"/>
      <w:r w:rsidRPr="007B67AD">
        <w:t xml:space="preserve"> portfolio manager FF </w:t>
      </w:r>
      <w:proofErr w:type="spellStart"/>
      <w:r w:rsidRPr="007B67AD">
        <w:t>Sustainable</w:t>
      </w:r>
      <w:proofErr w:type="spellEnd"/>
      <w:r w:rsidRPr="007B67AD">
        <w:t xml:space="preserve"> </w:t>
      </w:r>
      <w:proofErr w:type="spellStart"/>
      <w:r w:rsidRPr="007B67AD">
        <w:t>Future</w:t>
      </w:r>
      <w:proofErr w:type="spellEnd"/>
      <w:r w:rsidRPr="007B67AD">
        <w:t xml:space="preserve"> </w:t>
      </w:r>
      <w:proofErr w:type="spellStart"/>
      <w:r w:rsidRPr="007B67AD">
        <w:t>Connectivity</w:t>
      </w:r>
      <w:proofErr w:type="spellEnd"/>
      <w:r w:rsidRPr="007B67AD">
        <w:t>.</w:t>
      </w:r>
    </w:p>
    <w:p w14:paraId="40E1AF1C" w14:textId="5ADFDBD9" w:rsidR="00BD223A" w:rsidRPr="00BC7A07" w:rsidRDefault="007B67AD" w:rsidP="00BD223A">
      <w:pPr>
        <w:spacing w:after="120"/>
        <w:rPr>
          <w:b/>
        </w:rPr>
      </w:pPr>
      <w:r>
        <w:rPr>
          <w:b/>
        </w:rPr>
        <w:t>Prohlubování trhů 5G</w:t>
      </w:r>
    </w:p>
    <w:p w14:paraId="5EFE2085" w14:textId="464092E5" w:rsidR="007B67AD" w:rsidRDefault="007B67AD" w:rsidP="00BD223A">
      <w:pPr>
        <w:spacing w:after="120"/>
      </w:pPr>
      <w:r w:rsidRPr="007B67AD">
        <w:t xml:space="preserve">Výrobci telefonů a společnosti v dodavatelském řetězci mají ze zavádění 5G bezprostřední prospěch. V budoucnu však budeme svědky toho, že z 5G bude profitovat mnohem širší spektrum společností i technologií. Mezi nová využití pro spotřebitele </w:t>
      </w:r>
      <w:proofErr w:type="gramStart"/>
      <w:r w:rsidRPr="007B67AD">
        <w:t>patří</w:t>
      </w:r>
      <w:proofErr w:type="gramEnd"/>
      <w:r w:rsidRPr="007B67AD">
        <w:t xml:space="preserve"> rozšířená a virtuální realita, která vyžaduje náročné mobilní připojení, aby poskytly opravdu hluboký zážitek. Díky nízké spotřebě energie a schopnostem sítě je 5G ideální pro provozování produktů inteligentní domácnosti, které vyžadují stálé a spolehlivé připojení. Na nabídkové straně mám stále pozitivnější postoj k akciím firem, které mohou těžit z procesní automatizace. </w:t>
      </w:r>
      <w:proofErr w:type="gramStart"/>
      <w:r w:rsidRPr="007B67AD">
        <w:t>Patří</w:t>
      </w:r>
      <w:proofErr w:type="gramEnd"/>
      <w:r w:rsidRPr="007B67AD">
        <w:t xml:space="preserve"> sem tituly z oblasti počítačem podporovaného navrhování (CAD), jako je Autodesk.</w:t>
      </w:r>
    </w:p>
    <w:p w14:paraId="368470A8" w14:textId="23C88582" w:rsidR="007B67AD" w:rsidRPr="007B67AD" w:rsidRDefault="007B67AD" w:rsidP="007B67AD">
      <w:r w:rsidRPr="007B67AD">
        <w:t xml:space="preserve">V loňském roce předstihly širokopásmové sítě 4G a 5G, co se týče podílu globálních aplikací internetu věcí, sítě 2G a 3G (graf 3). Datové toky se výrazně zvyšují s tím, jak na 5G </w:t>
      </w:r>
      <w:proofErr w:type="gramStart"/>
      <w:r w:rsidRPr="007B67AD">
        <w:t>běží</w:t>
      </w:r>
      <w:proofErr w:type="gramEnd"/>
      <w:r w:rsidRPr="007B67AD">
        <w:t xml:space="preserve"> stále více úloh internetu věcí. 5G bude hrát zásadní roli v realizaci inteligentní výroby, což povede k provozním úsporám, vyšší efektivitě (včetně ekologických přínosů) a větší bezpečnosti. </w:t>
      </w:r>
    </w:p>
    <w:p w14:paraId="18AB44EB" w14:textId="12C6992C" w:rsidR="00BD223A" w:rsidRPr="00BC7A07" w:rsidRDefault="0003583E" w:rsidP="00BD223A">
      <w:pPr>
        <w:spacing w:after="120"/>
        <w:rPr>
          <w:b/>
        </w:rPr>
      </w:pPr>
      <w:r>
        <w:rPr>
          <w:b/>
        </w:rPr>
        <w:t>Umožnění udržitelnosti</w:t>
      </w:r>
    </w:p>
    <w:p w14:paraId="55CEF661" w14:textId="77777777" w:rsidR="0003583E" w:rsidRPr="0003583E" w:rsidRDefault="0003583E" w:rsidP="0003583E">
      <w:r w:rsidRPr="0003583E">
        <w:t xml:space="preserve">Navzdory závazkům velkých poskytovatelů cloudových služeb směrem k využívání obnovitelných zdrojů a s tím spojeným emisním cílům spotřebují datová centra více než 3 % světové elektřiny a produkují 2 % emisí CO2, což odpovídá leteckému průmyslu (graf 4). Ovšem s tím, jak 5G </w:t>
      </w:r>
      <w:proofErr w:type="gramStart"/>
      <w:r w:rsidRPr="0003583E">
        <w:t>vytváří</w:t>
      </w:r>
      <w:proofErr w:type="gramEnd"/>
      <w:r w:rsidRPr="0003583E">
        <w:t xml:space="preserve"> prostor pro nové aplikace, připojená zařízení a sofistikovanou výpočetní architekturu jako je </w:t>
      </w:r>
      <w:proofErr w:type="spellStart"/>
      <w:r w:rsidRPr="0003583E">
        <w:t>Edge</w:t>
      </w:r>
      <w:proofErr w:type="spellEnd"/>
      <w:r w:rsidRPr="0003583E">
        <w:t xml:space="preserve"> </w:t>
      </w:r>
      <w:proofErr w:type="spellStart"/>
      <w:r w:rsidRPr="0003583E">
        <w:t>computing</w:t>
      </w:r>
      <w:proofErr w:type="spellEnd"/>
      <w:r w:rsidRPr="0003583E">
        <w:t>, zároveň podporuje příležitosti pro decentralizaci, modernizaci a snižování energetické náročnosti cloudových služeb.</w:t>
      </w:r>
    </w:p>
    <w:p w14:paraId="3FF50DAE" w14:textId="748DFA66" w:rsidR="0003583E" w:rsidRPr="0003583E" w:rsidRDefault="0003583E" w:rsidP="00BC34F6">
      <w:pPr>
        <w:spacing w:line="240" w:lineRule="auto"/>
      </w:pPr>
      <w:r w:rsidRPr="0003583E">
        <w:t xml:space="preserve">V širším měřítku mohou i nové technologie konektivity podpořit řadu cílů udržitelnosti. Firmy zabývající se energiemi a materiály mohou využívat technologie </w:t>
      </w:r>
      <w:proofErr w:type="spellStart"/>
      <w:r w:rsidRPr="0003583E">
        <w:t>Edge</w:t>
      </w:r>
      <w:proofErr w:type="spellEnd"/>
      <w:r w:rsidRPr="0003583E">
        <w:t xml:space="preserve"> k lepšímu pochopení vzniku emisí, zatímco logistické společnosti je mohou využívat k monitorování prázdných vozidel na cestě v reálném čase a snižovat tak emise. Senzory v budovách mohou vést k efektivnějšímu využívání energie a umožnit dálkové ovládání energetických a odpadových funkcí. Internet věcí lze také využít k podpoře inteligentních sítí a měst, ke snížení dopravních zácp a k pomoci řidičům rychleji najít parkovací místa.</w:t>
      </w:r>
    </w:p>
    <w:p w14:paraId="4DC7B580" w14:textId="67DF6819" w:rsidR="00B24AE7" w:rsidRDefault="0003583E" w:rsidP="0003583E">
      <w:r w:rsidRPr="0003583E">
        <w:t>Vylepšené monitorování v reálném čase může organizacím a záchranným službám umožnit rychlejší reakci na incidenty, ať už jsou způsobeny poruchami infrastruktury, jako je únik plynu, nebo přírodními katastrofami. To může pomoci zmírnit škody na životním prostředí a poskytnout informace pro předcházení budoucím haváriím.</w:t>
      </w:r>
      <w:r w:rsidRPr="0003583E">
        <w:rPr>
          <w:vertAlign w:val="superscript"/>
        </w:rPr>
        <w:t>2</w:t>
      </w:r>
    </w:p>
    <w:p w14:paraId="7BB22626" w14:textId="77777777" w:rsidR="0003583E" w:rsidRDefault="0003583E" w:rsidP="00B24AE7">
      <w:pPr>
        <w:spacing w:line="240" w:lineRule="auto"/>
        <w:rPr>
          <w:b/>
        </w:rPr>
      </w:pPr>
    </w:p>
    <w:p w14:paraId="35686787" w14:textId="77777777" w:rsidR="0003583E" w:rsidRDefault="0003583E" w:rsidP="00B24AE7">
      <w:pPr>
        <w:spacing w:line="240" w:lineRule="auto"/>
        <w:rPr>
          <w:b/>
        </w:rPr>
      </w:pPr>
    </w:p>
    <w:p w14:paraId="3968A735" w14:textId="77777777" w:rsidR="0003583E" w:rsidRDefault="0003583E" w:rsidP="00B24AE7">
      <w:pPr>
        <w:spacing w:line="240" w:lineRule="auto"/>
        <w:rPr>
          <w:b/>
        </w:rPr>
      </w:pPr>
    </w:p>
    <w:p w14:paraId="295A937A" w14:textId="0158740C" w:rsidR="008D1E99" w:rsidRDefault="0003583E" w:rsidP="00B24AE7">
      <w:pPr>
        <w:spacing w:line="240" w:lineRule="auto"/>
        <w:rPr>
          <w:b/>
        </w:rPr>
      </w:pPr>
      <w:r>
        <w:rPr>
          <w:b/>
        </w:rPr>
        <w:lastRenderedPageBreak/>
        <w:t>Graf 3: Mobilní připojení podle segmentů (v mld.)</w:t>
      </w:r>
    </w:p>
    <w:p w14:paraId="32A848DC" w14:textId="6CAFFB3F" w:rsidR="0003583E" w:rsidRDefault="0003583E" w:rsidP="00B24AE7">
      <w:pPr>
        <w:spacing w:line="240" w:lineRule="auto"/>
      </w:pPr>
      <w:r w:rsidRPr="006855B5">
        <w:rPr>
          <w:rFonts w:cstheme="minorHAnsi"/>
          <w:b/>
          <w:noProof/>
          <w:color w:val="000000" w:themeColor="text1"/>
          <w:sz w:val="24"/>
          <w:szCs w:val="24"/>
        </w:rPr>
        <w:drawing>
          <wp:inline distT="0" distB="0" distL="0" distR="0" wp14:anchorId="36469BD2" wp14:editId="4DD4A27A">
            <wp:extent cx="3601557" cy="3219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9588" cy="3226629"/>
                    </a:xfrm>
                    <a:prstGeom prst="rect">
                      <a:avLst/>
                    </a:prstGeom>
                  </pic:spPr>
                </pic:pic>
              </a:graphicData>
            </a:graphic>
          </wp:inline>
        </w:drawing>
      </w:r>
    </w:p>
    <w:p w14:paraId="4C75FA04" w14:textId="2C81B057" w:rsidR="0003583E" w:rsidRPr="0003583E" w:rsidRDefault="0003583E" w:rsidP="0003583E">
      <w:pPr>
        <w:spacing w:after="120"/>
        <w:rPr>
          <w:b/>
        </w:rPr>
      </w:pPr>
      <w:r>
        <w:rPr>
          <w:b/>
        </w:rPr>
        <w:t>Graf 4: Celosvětová poptávka po energii podle typu datového centra</w:t>
      </w:r>
    </w:p>
    <w:p w14:paraId="358705FC" w14:textId="4BE503BC" w:rsidR="005D0735" w:rsidRDefault="0003583E" w:rsidP="005D0735">
      <w:r w:rsidRPr="006855B5">
        <w:rPr>
          <w:rFonts w:cstheme="minorHAnsi"/>
          <w:b/>
          <w:noProof/>
          <w:color w:val="000000" w:themeColor="text1"/>
          <w:sz w:val="24"/>
          <w:szCs w:val="24"/>
        </w:rPr>
        <w:drawing>
          <wp:anchor distT="0" distB="0" distL="114300" distR="114300" simplePos="0" relativeHeight="251659264" behindDoc="1" locked="0" layoutInCell="1" allowOverlap="1" wp14:anchorId="0797038F" wp14:editId="2BCCAFF3">
            <wp:simplePos x="0" y="0"/>
            <wp:positionH relativeFrom="column">
              <wp:posOffset>267970</wp:posOffset>
            </wp:positionH>
            <wp:positionV relativeFrom="paragraph">
              <wp:posOffset>1270</wp:posOffset>
            </wp:positionV>
            <wp:extent cx="2781300" cy="2883535"/>
            <wp:effectExtent l="0" t="0" r="0" b="0"/>
            <wp:wrapTight wrapText="bothSides">
              <wp:wrapPolygon edited="0">
                <wp:start x="0" y="0"/>
                <wp:lineTo x="0" y="21405"/>
                <wp:lineTo x="21452" y="21405"/>
                <wp:lineTo x="21452"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81300" cy="2883535"/>
                    </a:xfrm>
                    <a:prstGeom prst="rect">
                      <a:avLst/>
                    </a:prstGeom>
                  </pic:spPr>
                </pic:pic>
              </a:graphicData>
            </a:graphic>
          </wp:anchor>
        </w:drawing>
      </w:r>
    </w:p>
    <w:p w14:paraId="2BCD1904" w14:textId="7645807F" w:rsidR="0003583E" w:rsidRDefault="0003583E" w:rsidP="0003583E">
      <w:pPr>
        <w:pStyle w:val="F2-zkladn"/>
      </w:pPr>
    </w:p>
    <w:p w14:paraId="635F845E" w14:textId="6265EA48" w:rsidR="0003583E" w:rsidRDefault="0003583E" w:rsidP="0003583E">
      <w:pPr>
        <w:pStyle w:val="F2-zkladn"/>
      </w:pPr>
    </w:p>
    <w:p w14:paraId="7AD9A7B7" w14:textId="0B041656" w:rsidR="0003583E" w:rsidRDefault="0003583E" w:rsidP="0003583E">
      <w:pPr>
        <w:pStyle w:val="F2-zkladn"/>
      </w:pPr>
    </w:p>
    <w:p w14:paraId="36D9A8A6" w14:textId="5727C61D" w:rsidR="0003583E" w:rsidRDefault="0003583E" w:rsidP="0003583E">
      <w:pPr>
        <w:pStyle w:val="F2-zkladn"/>
      </w:pPr>
    </w:p>
    <w:p w14:paraId="2BE83043" w14:textId="05903922" w:rsidR="0003583E" w:rsidRDefault="0003583E" w:rsidP="0003583E">
      <w:pPr>
        <w:pStyle w:val="F2-zkladn"/>
      </w:pPr>
    </w:p>
    <w:p w14:paraId="08EC8913" w14:textId="75534875" w:rsidR="0003583E" w:rsidRDefault="0003583E" w:rsidP="0003583E">
      <w:pPr>
        <w:pStyle w:val="F2-zkladn"/>
      </w:pPr>
    </w:p>
    <w:p w14:paraId="170FB74D" w14:textId="50F7D61F" w:rsidR="0003583E" w:rsidRDefault="0003583E" w:rsidP="0003583E">
      <w:pPr>
        <w:pStyle w:val="F2-zkladn"/>
      </w:pPr>
    </w:p>
    <w:p w14:paraId="4EDE323C" w14:textId="3D3A12DF" w:rsidR="0003583E" w:rsidRDefault="0003583E" w:rsidP="0003583E">
      <w:pPr>
        <w:pStyle w:val="F2-zkladn"/>
      </w:pPr>
    </w:p>
    <w:p w14:paraId="72D66827" w14:textId="77777777" w:rsidR="0003583E" w:rsidRPr="0003583E" w:rsidRDefault="0003583E" w:rsidP="0003583E">
      <w:pPr>
        <w:rPr>
          <w:b/>
        </w:rPr>
      </w:pPr>
      <w:r w:rsidRPr="0003583E">
        <w:rPr>
          <w:b/>
        </w:rPr>
        <w:t xml:space="preserve">Rostoucí investice u </w:t>
      </w:r>
      <w:r w:rsidRPr="0003583E">
        <w:rPr>
          <w:b/>
        </w:rPr>
        <w:t>firem s velkou kapitalizací</w:t>
      </w:r>
    </w:p>
    <w:p w14:paraId="58A1B218" w14:textId="77777777" w:rsidR="0003583E" w:rsidRPr="0003583E" w:rsidRDefault="0003583E" w:rsidP="0003583E">
      <w:r w:rsidRPr="0003583E">
        <w:t xml:space="preserve">Po dvou letech dobrých výsledků chtějí platformy s největší kapitalizací investovat do nových iniciativ v oblasti konektivity. Společnost Meta (dříve Facebook) se nedávno zavázala vynaložit 10 miliard dolarů na technologie podporující rozvoj </w:t>
      </w:r>
      <w:proofErr w:type="spellStart"/>
      <w:r w:rsidRPr="0003583E">
        <w:t>Metaverza</w:t>
      </w:r>
      <w:proofErr w:type="spellEnd"/>
      <w:r w:rsidRPr="0003583E">
        <w:t>. Další „</w:t>
      </w:r>
      <w:proofErr w:type="spellStart"/>
      <w:r w:rsidRPr="0003583E">
        <w:t>megacaps</w:t>
      </w:r>
      <w:proofErr w:type="spellEnd"/>
      <w:r w:rsidRPr="0003583E">
        <w:t xml:space="preserve">“ budou pravděpodobně následovat, i když bude ještě nějakou dobu trvat, než se samotné </w:t>
      </w:r>
      <w:proofErr w:type="spellStart"/>
      <w:r w:rsidRPr="0003583E">
        <w:t>Metaverzum</w:t>
      </w:r>
      <w:proofErr w:type="spellEnd"/>
      <w:r w:rsidRPr="0003583E">
        <w:t xml:space="preserve"> stane konceptem, do kterého lze investovat. </w:t>
      </w:r>
      <w:r w:rsidRPr="0003583E">
        <w:rPr>
          <w:i/>
          <w:iCs/>
        </w:rPr>
        <w:t>„Vzhledem k době, kterou vývojáři potřebují na výrobu aplikací, bychom se divili, kdyby Apple neoznámil své záměry ohledně virtuální/rozšířené reality v roce 2022,“</w:t>
      </w:r>
      <w:r w:rsidRPr="0003583E">
        <w:t xml:space="preserve"> říká Jon </w:t>
      </w:r>
      <w:proofErr w:type="spellStart"/>
      <w:r w:rsidRPr="0003583E">
        <w:t>Guinness</w:t>
      </w:r>
      <w:proofErr w:type="spellEnd"/>
      <w:r w:rsidRPr="0003583E">
        <w:t xml:space="preserve"> portfolio manager FF </w:t>
      </w:r>
      <w:proofErr w:type="spellStart"/>
      <w:r w:rsidRPr="0003583E">
        <w:t>Sustainable</w:t>
      </w:r>
      <w:proofErr w:type="spellEnd"/>
      <w:r w:rsidRPr="0003583E">
        <w:t xml:space="preserve"> </w:t>
      </w:r>
      <w:proofErr w:type="spellStart"/>
      <w:r w:rsidRPr="0003583E">
        <w:t>Future</w:t>
      </w:r>
      <w:proofErr w:type="spellEnd"/>
      <w:r w:rsidRPr="0003583E">
        <w:t xml:space="preserve"> </w:t>
      </w:r>
      <w:proofErr w:type="spellStart"/>
      <w:r w:rsidRPr="0003583E">
        <w:t>Connectivity</w:t>
      </w:r>
      <w:proofErr w:type="spellEnd"/>
      <w:r w:rsidRPr="0003583E">
        <w:t>.</w:t>
      </w:r>
    </w:p>
    <w:p w14:paraId="52122A5E" w14:textId="77777777" w:rsidR="0003583E" w:rsidRPr="0003583E" w:rsidRDefault="0003583E" w:rsidP="0003583E">
      <w:r w:rsidRPr="0003583E">
        <w:lastRenderedPageBreak/>
        <w:t xml:space="preserve">Apple se může vydat směrem vývoje dalších služeb, automobilů nebo virtuální reality. Také nové cloudové řešení virtuální sítě RAN "5G in a box" od společnosti Amazon by mělo být dalším růstovým impulsem. Cena akcií společnosti </w:t>
      </w:r>
      <w:proofErr w:type="spellStart"/>
      <w:r w:rsidRPr="0003583E">
        <w:t>Alphabet</w:t>
      </w:r>
      <w:proofErr w:type="spellEnd"/>
      <w:r w:rsidRPr="0003583E">
        <w:t xml:space="preserve"> v roce 2021 rostla, ale společnost zůstává dominantní v oblasti vyhledávání na internetu se silným zastoupením v cloudových řešeních. Také Microsoft má růstový potenciál díky jeho cloudovému (Azure) partnerství s předními poskytovateli telekomunikačních služeb, za účelem lepší technologické podpory směrem k 5G, virtuálním sítím a </w:t>
      </w:r>
      <w:proofErr w:type="spellStart"/>
      <w:r w:rsidRPr="0003583E">
        <w:t>intelligent-Edge</w:t>
      </w:r>
      <w:proofErr w:type="spellEnd"/>
      <w:r w:rsidRPr="0003583E">
        <w:t xml:space="preserve"> </w:t>
      </w:r>
      <w:proofErr w:type="spellStart"/>
      <w:r w:rsidRPr="0003583E">
        <w:t>computingu</w:t>
      </w:r>
      <w:proofErr w:type="spellEnd"/>
      <w:r w:rsidRPr="0003583E">
        <w:t>.</w:t>
      </w:r>
    </w:p>
    <w:p w14:paraId="2A246381" w14:textId="77777777" w:rsidR="0003583E" w:rsidRPr="0003583E" w:rsidRDefault="0003583E" w:rsidP="0003583E">
      <w:r w:rsidRPr="0003583E">
        <w:t xml:space="preserve">Čínské akcie v oblasti konektivity v loňském roce utrpěly kvůli vládním regulacím, ale Čínu stále považuji za oblast příležitostí. </w:t>
      </w:r>
      <w:r w:rsidRPr="0003583E">
        <w:rPr>
          <w:i/>
          <w:iCs/>
        </w:rPr>
        <w:t>„Je však třeba pečlivě pátrat, abychom našli akcie, které jsou perspektivní z hlediska růstu i ocenění a mají minimální regulační riziko,“</w:t>
      </w:r>
      <w:r w:rsidRPr="0003583E">
        <w:t xml:space="preserve"> upřesňuje Jon </w:t>
      </w:r>
      <w:proofErr w:type="spellStart"/>
      <w:r w:rsidRPr="0003583E">
        <w:t>Guinness</w:t>
      </w:r>
      <w:proofErr w:type="spellEnd"/>
      <w:r w:rsidRPr="0003583E">
        <w:t xml:space="preserve"> portfolio manager FF </w:t>
      </w:r>
      <w:proofErr w:type="spellStart"/>
      <w:r w:rsidRPr="0003583E">
        <w:t>Sustainable</w:t>
      </w:r>
      <w:proofErr w:type="spellEnd"/>
      <w:r w:rsidRPr="0003583E">
        <w:t xml:space="preserve"> </w:t>
      </w:r>
      <w:proofErr w:type="spellStart"/>
      <w:r w:rsidRPr="0003583E">
        <w:t>Future</w:t>
      </w:r>
      <w:proofErr w:type="spellEnd"/>
      <w:r w:rsidRPr="0003583E">
        <w:t xml:space="preserve"> </w:t>
      </w:r>
      <w:proofErr w:type="spellStart"/>
      <w:r w:rsidRPr="0003583E">
        <w:t>Connectivity</w:t>
      </w:r>
      <w:proofErr w:type="spellEnd"/>
      <w:r w:rsidRPr="0003583E">
        <w:t>.</w:t>
      </w:r>
    </w:p>
    <w:p w14:paraId="7FF407A5" w14:textId="3419984F" w:rsidR="0003583E" w:rsidRDefault="0003583E" w:rsidP="0003583E">
      <w:r w:rsidRPr="009C2E55">
        <w:rPr>
          <w:i/>
          <w:iCs/>
        </w:rPr>
        <w:t>„Očekávám oživení čínského trhu se smartphony. Tato oblast v roce 2021 utrpěla vzhledem k dopadu amerických sankcí proti společnosti Huawei a slabšímu hospodářskému růstu. Náš průzkum však naznačuje oživení a mnoho titulů v čínských dodavatelských řetězcích mobilních telefonů bude mít letos výhodu nízké srovnávací základny,“</w:t>
      </w:r>
      <w:r w:rsidRPr="009C2E55">
        <w:t xml:space="preserve"> dodává Jon </w:t>
      </w:r>
      <w:proofErr w:type="spellStart"/>
      <w:r w:rsidRPr="009C2E55">
        <w:t>Guinness</w:t>
      </w:r>
      <w:proofErr w:type="spellEnd"/>
      <w:r w:rsidRPr="009C2E55">
        <w:t>.</w:t>
      </w:r>
    </w:p>
    <w:p w14:paraId="54F4E2C5" w14:textId="261E13FF" w:rsidR="009C2E55" w:rsidRPr="009C2E55" w:rsidRDefault="009C2E55" w:rsidP="009C2E55">
      <w:pPr>
        <w:pStyle w:val="F2-zkladn"/>
      </w:pPr>
      <w:r w:rsidRPr="009C2E55">
        <w:rPr>
          <w:b/>
        </w:rPr>
        <w:t>Závěr</w:t>
      </w:r>
    </w:p>
    <w:p w14:paraId="2C1C69C8" w14:textId="267A768B" w:rsidR="009C2E55" w:rsidRPr="009C2E55" w:rsidRDefault="009C2E55" w:rsidP="009C2E55">
      <w:r w:rsidRPr="009C2E55">
        <w:t xml:space="preserve">Budoucí konektivita je tématem spojeným s množstvím strukturálních růstových faktorů, které by měly v průběhu času generovat silné výnosy. </w:t>
      </w:r>
      <w:proofErr w:type="gramStart"/>
      <w:r w:rsidRPr="009C2E55">
        <w:t>Patří</w:t>
      </w:r>
      <w:proofErr w:type="gramEnd"/>
      <w:r w:rsidRPr="009C2E55">
        <w:t xml:space="preserve"> k nim pokračující zavádění 5G, internet věcí a průmyslová automatizace, ale i potenciál nového cyklu </w:t>
      </w:r>
      <w:proofErr w:type="spellStart"/>
      <w:r w:rsidRPr="009C2E55">
        <w:t>switchingu</w:t>
      </w:r>
      <w:proofErr w:type="spellEnd"/>
      <w:r w:rsidRPr="009C2E55">
        <w:t xml:space="preserve"> a </w:t>
      </w:r>
      <w:proofErr w:type="spellStart"/>
      <w:r w:rsidRPr="009C2E55">
        <w:t>rountingu</w:t>
      </w:r>
      <w:proofErr w:type="spellEnd"/>
      <w:r w:rsidRPr="009C2E55">
        <w:t>. Mnoho firem s největší kapitalizací vypadá slibně z fundamentálního hlediska i z hlediska ocenění, ale portfolia lze doplnit o nové tituly, kterým by se mělo dařit na rozvíjejících se trzích.</w:t>
      </w:r>
    </w:p>
    <w:p w14:paraId="0F0A0345" w14:textId="43227209" w:rsidR="009C2E55" w:rsidRPr="009C2E55" w:rsidRDefault="009C2E55" w:rsidP="009C2E55">
      <w:pPr>
        <w:pStyle w:val="F2-zkladn"/>
        <w:rPr>
          <w:b/>
        </w:rPr>
      </w:pPr>
      <w:r w:rsidRPr="006855B5">
        <w:rPr>
          <w:rFonts w:cstheme="minorHAnsi"/>
          <w:noProof/>
          <w:color w:val="000000" w:themeColor="text1"/>
          <w:sz w:val="24"/>
          <w:szCs w:val="24"/>
        </w:rPr>
        <w:drawing>
          <wp:anchor distT="0" distB="0" distL="114300" distR="114300" simplePos="0" relativeHeight="251660288" behindDoc="1" locked="0" layoutInCell="1" allowOverlap="1" wp14:anchorId="19021596" wp14:editId="1B7D9E4F">
            <wp:simplePos x="0" y="0"/>
            <wp:positionH relativeFrom="margin">
              <wp:align>right</wp:align>
            </wp:positionH>
            <wp:positionV relativeFrom="paragraph">
              <wp:posOffset>547370</wp:posOffset>
            </wp:positionV>
            <wp:extent cx="5759450" cy="1423991"/>
            <wp:effectExtent l="0" t="0" r="0" b="5080"/>
            <wp:wrapTight wrapText="bothSides">
              <wp:wrapPolygon edited="0">
                <wp:start x="0" y="0"/>
                <wp:lineTo x="0" y="21388"/>
                <wp:lineTo x="21505" y="21388"/>
                <wp:lineTo x="21505" y="0"/>
                <wp:lineTo x="0" y="0"/>
              </wp:wrapPolygon>
            </wp:wrapTight>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5759450" cy="1423991"/>
                    </a:xfrm>
                    <a:prstGeom prst="rect">
                      <a:avLst/>
                    </a:prstGeom>
                  </pic:spPr>
                </pic:pic>
              </a:graphicData>
            </a:graphic>
          </wp:anchor>
        </w:drawing>
      </w:r>
      <w:r w:rsidRPr="009C2E55">
        <w:rPr>
          <w:b/>
        </w:rPr>
        <w:t>Klouzavá pětiletá čistá výkonnost (%, EUR)</w:t>
      </w:r>
    </w:p>
    <w:p w14:paraId="77F2BE23" w14:textId="0B962274" w:rsidR="0003583E" w:rsidRDefault="009C2E55" w:rsidP="0003583E">
      <w:pPr>
        <w:pStyle w:val="F2-zkladn"/>
        <w:rPr>
          <w:rFonts w:asciiTheme="minorHAnsi" w:hAnsiTheme="minorHAnsi" w:cstheme="minorHAnsi"/>
          <w:color w:val="000000" w:themeColor="text1"/>
        </w:rPr>
      </w:pPr>
      <w:r w:rsidRPr="006855B5">
        <w:rPr>
          <w:rFonts w:asciiTheme="minorHAnsi" w:hAnsiTheme="minorHAnsi" w:cstheme="minorHAnsi"/>
          <w:color w:val="000000" w:themeColor="text1"/>
        </w:rPr>
        <w:t xml:space="preserve">Zdroj: </w:t>
      </w:r>
      <w:proofErr w:type="spellStart"/>
      <w:r w:rsidRPr="006855B5">
        <w:rPr>
          <w:rFonts w:asciiTheme="minorHAnsi" w:hAnsiTheme="minorHAnsi" w:cstheme="minorHAnsi"/>
          <w:color w:val="000000" w:themeColor="text1"/>
        </w:rPr>
        <w:t>Fidelity</w:t>
      </w:r>
      <w:proofErr w:type="spellEnd"/>
      <w:r w:rsidRPr="006855B5">
        <w:rPr>
          <w:rFonts w:asciiTheme="minorHAnsi" w:hAnsiTheme="minorHAnsi" w:cstheme="minorHAnsi"/>
          <w:color w:val="000000" w:themeColor="text1"/>
        </w:rPr>
        <w:t xml:space="preserve"> International, 31. prosince 2021. Výkonnost po započtení poplatků, pro třídu akcií A-ACC-EUR. Základ nav-nav, s hrubým výnosem reinvestovaným v EUR (bez počátečního poplatku za prodej). Srovnávací index: MSCI AC </w:t>
      </w:r>
      <w:proofErr w:type="spellStart"/>
      <w:r w:rsidRPr="006855B5">
        <w:rPr>
          <w:rFonts w:asciiTheme="minorHAnsi" w:hAnsiTheme="minorHAnsi" w:cstheme="minorHAnsi"/>
          <w:color w:val="000000" w:themeColor="text1"/>
        </w:rPr>
        <w:t>World</w:t>
      </w:r>
      <w:proofErr w:type="spellEnd"/>
      <w:r w:rsidRPr="006855B5">
        <w:rPr>
          <w:rFonts w:asciiTheme="minorHAnsi" w:hAnsiTheme="minorHAnsi" w:cstheme="minorHAnsi"/>
          <w:color w:val="000000" w:themeColor="text1"/>
        </w:rPr>
        <w:t xml:space="preserve"> (N). Fond byl uveden na trh 11. prosince 2018. 1. Před 1. říjnem 2019 byl fond srovnáván s indexem MSCI ACWI </w:t>
      </w:r>
      <w:proofErr w:type="spellStart"/>
      <w:r w:rsidRPr="006855B5">
        <w:rPr>
          <w:rFonts w:asciiTheme="minorHAnsi" w:hAnsiTheme="minorHAnsi" w:cstheme="minorHAnsi"/>
          <w:color w:val="000000" w:themeColor="text1"/>
        </w:rPr>
        <w:t>Communication</w:t>
      </w:r>
      <w:proofErr w:type="spellEnd"/>
      <w:r w:rsidRPr="006855B5">
        <w:rPr>
          <w:rFonts w:asciiTheme="minorHAnsi" w:hAnsiTheme="minorHAnsi" w:cstheme="minorHAnsi"/>
          <w:color w:val="000000" w:themeColor="text1"/>
        </w:rPr>
        <w:t xml:space="preserve"> </w:t>
      </w:r>
      <w:proofErr w:type="spellStart"/>
      <w:r w:rsidRPr="006855B5">
        <w:rPr>
          <w:rFonts w:asciiTheme="minorHAnsi" w:hAnsiTheme="minorHAnsi" w:cstheme="minorHAnsi"/>
          <w:color w:val="000000" w:themeColor="text1"/>
        </w:rPr>
        <w:t>Services</w:t>
      </w:r>
      <w:proofErr w:type="spellEnd"/>
      <w:r w:rsidRPr="006855B5">
        <w:rPr>
          <w:rFonts w:asciiTheme="minorHAnsi" w:hAnsiTheme="minorHAnsi" w:cstheme="minorHAnsi"/>
          <w:color w:val="000000" w:themeColor="text1"/>
        </w:rPr>
        <w:t xml:space="preserve"> Index (N); výkonnost byla řetězena.</w:t>
      </w:r>
    </w:p>
    <w:p w14:paraId="17270D04" w14:textId="77777777" w:rsidR="009C2E55" w:rsidRPr="009C2E55" w:rsidRDefault="009C2E55" w:rsidP="009C2E55">
      <w:pPr>
        <w:rPr>
          <w:b/>
        </w:rPr>
      </w:pPr>
      <w:r w:rsidRPr="009C2E55">
        <w:rPr>
          <w:b/>
        </w:rPr>
        <w:t>Poznámky pod čarou</w:t>
      </w:r>
    </w:p>
    <w:p w14:paraId="502B1B48" w14:textId="77777777" w:rsidR="009C2E55" w:rsidRPr="009C2E55" w:rsidRDefault="009C2E55" w:rsidP="009C2E55">
      <w:pPr>
        <w:rPr>
          <w:rFonts w:asciiTheme="minorHAnsi" w:hAnsiTheme="minorHAnsi" w:cstheme="minorHAnsi"/>
          <w:color w:val="000000" w:themeColor="text1"/>
        </w:rPr>
      </w:pPr>
      <w:r w:rsidRPr="006855B5">
        <w:rPr>
          <w:rFonts w:cstheme="minorHAnsi"/>
          <w:color w:val="000000" w:themeColor="text1"/>
          <w:sz w:val="24"/>
          <w:szCs w:val="24"/>
          <w:vertAlign w:val="superscript"/>
        </w:rPr>
        <w:t>1</w:t>
      </w:r>
      <w:r w:rsidRPr="006855B5">
        <w:rPr>
          <w:rFonts w:cstheme="minorHAnsi"/>
          <w:color w:val="000000" w:themeColor="text1"/>
          <w:sz w:val="24"/>
          <w:szCs w:val="24"/>
        </w:rPr>
        <w:t xml:space="preserve"> </w:t>
      </w:r>
      <w:proofErr w:type="spellStart"/>
      <w:r w:rsidRPr="009C2E55">
        <w:rPr>
          <w:rFonts w:asciiTheme="minorHAnsi" w:hAnsiTheme="minorHAnsi" w:cstheme="minorHAnsi"/>
          <w:color w:val="000000" w:themeColor="text1"/>
        </w:rPr>
        <w:t>Cowen</w:t>
      </w:r>
      <w:proofErr w:type="spellEnd"/>
      <w:r w:rsidRPr="009C2E55">
        <w:rPr>
          <w:rFonts w:asciiTheme="minorHAnsi" w:hAnsiTheme="minorHAnsi" w:cstheme="minorHAnsi"/>
          <w:color w:val="000000" w:themeColor="text1"/>
        </w:rPr>
        <w:t>, "</w:t>
      </w:r>
      <w:proofErr w:type="spellStart"/>
      <w:r w:rsidRPr="009C2E55">
        <w:rPr>
          <w:rFonts w:asciiTheme="minorHAnsi" w:hAnsiTheme="minorHAnsi" w:cstheme="minorHAnsi"/>
          <w:color w:val="000000" w:themeColor="text1"/>
        </w:rPr>
        <w:t>Livin</w:t>
      </w:r>
      <w:proofErr w:type="spellEnd"/>
      <w:r w:rsidRPr="009C2E55">
        <w:rPr>
          <w:rFonts w:asciiTheme="minorHAnsi" w:hAnsiTheme="minorHAnsi" w:cstheme="minorHAnsi"/>
          <w:color w:val="000000" w:themeColor="text1"/>
        </w:rPr>
        <w:t xml:space="preserve">' on </w:t>
      </w:r>
      <w:proofErr w:type="spellStart"/>
      <w:r w:rsidRPr="009C2E55">
        <w:rPr>
          <w:rFonts w:asciiTheme="minorHAnsi" w:hAnsiTheme="minorHAnsi" w:cstheme="minorHAnsi"/>
          <w:color w:val="000000" w:themeColor="text1"/>
        </w:rPr>
        <w:t>the</w:t>
      </w:r>
      <w:proofErr w:type="spellEnd"/>
      <w:r w:rsidRPr="009C2E55">
        <w:rPr>
          <w:rFonts w:asciiTheme="minorHAnsi" w:hAnsiTheme="minorHAnsi" w:cstheme="minorHAnsi"/>
          <w:color w:val="000000" w:themeColor="text1"/>
        </w:rPr>
        <w:t xml:space="preserve"> </w:t>
      </w:r>
      <w:proofErr w:type="spellStart"/>
      <w:r w:rsidRPr="009C2E55">
        <w:rPr>
          <w:rFonts w:asciiTheme="minorHAnsi" w:hAnsiTheme="minorHAnsi" w:cstheme="minorHAnsi"/>
          <w:color w:val="000000" w:themeColor="text1"/>
        </w:rPr>
        <w:t>Edge</w:t>
      </w:r>
      <w:proofErr w:type="spellEnd"/>
      <w:r w:rsidRPr="009C2E55">
        <w:rPr>
          <w:rFonts w:asciiTheme="minorHAnsi" w:hAnsiTheme="minorHAnsi" w:cstheme="minorHAnsi"/>
          <w:color w:val="000000" w:themeColor="text1"/>
        </w:rPr>
        <w:t xml:space="preserve"> II: </w:t>
      </w:r>
      <w:proofErr w:type="spellStart"/>
      <w:r w:rsidRPr="009C2E55">
        <w:rPr>
          <w:rFonts w:asciiTheme="minorHAnsi" w:hAnsiTheme="minorHAnsi" w:cstheme="minorHAnsi"/>
          <w:color w:val="000000" w:themeColor="text1"/>
        </w:rPr>
        <w:t>Accelerating</w:t>
      </w:r>
      <w:proofErr w:type="spellEnd"/>
      <w:r w:rsidRPr="009C2E55">
        <w:rPr>
          <w:rFonts w:asciiTheme="minorHAnsi" w:hAnsiTheme="minorHAnsi" w:cstheme="minorHAnsi"/>
          <w:color w:val="000000" w:themeColor="text1"/>
        </w:rPr>
        <w:t xml:space="preserve"> </w:t>
      </w:r>
      <w:proofErr w:type="spellStart"/>
      <w:r w:rsidRPr="009C2E55">
        <w:rPr>
          <w:rFonts w:asciiTheme="minorHAnsi" w:hAnsiTheme="minorHAnsi" w:cstheme="minorHAnsi"/>
          <w:color w:val="000000" w:themeColor="text1"/>
        </w:rPr>
        <w:t>towards</w:t>
      </w:r>
      <w:proofErr w:type="spellEnd"/>
      <w:r w:rsidRPr="009C2E55">
        <w:rPr>
          <w:rFonts w:asciiTheme="minorHAnsi" w:hAnsiTheme="minorHAnsi" w:cstheme="minorHAnsi"/>
          <w:color w:val="000000" w:themeColor="text1"/>
        </w:rPr>
        <w:t xml:space="preserve"> </w:t>
      </w:r>
      <w:proofErr w:type="spellStart"/>
      <w:r w:rsidRPr="009C2E55">
        <w:rPr>
          <w:rFonts w:asciiTheme="minorHAnsi" w:hAnsiTheme="minorHAnsi" w:cstheme="minorHAnsi"/>
          <w:color w:val="000000" w:themeColor="text1"/>
        </w:rPr>
        <w:t>the</w:t>
      </w:r>
      <w:proofErr w:type="spellEnd"/>
      <w:r w:rsidRPr="009C2E55">
        <w:rPr>
          <w:rFonts w:asciiTheme="minorHAnsi" w:hAnsiTheme="minorHAnsi" w:cstheme="minorHAnsi"/>
          <w:color w:val="000000" w:themeColor="text1"/>
        </w:rPr>
        <w:t xml:space="preserve"> </w:t>
      </w:r>
      <w:proofErr w:type="spellStart"/>
      <w:r w:rsidRPr="009C2E55">
        <w:rPr>
          <w:rFonts w:asciiTheme="minorHAnsi" w:hAnsiTheme="minorHAnsi" w:cstheme="minorHAnsi"/>
          <w:color w:val="000000" w:themeColor="text1"/>
        </w:rPr>
        <w:t>Edge</w:t>
      </w:r>
      <w:proofErr w:type="spellEnd"/>
      <w:r w:rsidRPr="009C2E55">
        <w:rPr>
          <w:rFonts w:asciiTheme="minorHAnsi" w:hAnsiTheme="minorHAnsi" w:cstheme="minorHAnsi"/>
          <w:color w:val="000000" w:themeColor="text1"/>
        </w:rPr>
        <w:t>", 7. prosince 2021.</w:t>
      </w:r>
    </w:p>
    <w:p w14:paraId="19B4838D" w14:textId="6CEB4051" w:rsidR="009C2E55" w:rsidRPr="009C2E55" w:rsidRDefault="009C2E55" w:rsidP="009C2E55">
      <w:pPr>
        <w:rPr>
          <w:rFonts w:asciiTheme="minorHAnsi" w:hAnsiTheme="minorHAnsi" w:cstheme="minorHAnsi"/>
          <w:color w:val="000000" w:themeColor="text1"/>
        </w:rPr>
      </w:pPr>
      <w:r w:rsidRPr="009C2E55">
        <w:rPr>
          <w:rFonts w:asciiTheme="minorHAnsi" w:hAnsiTheme="minorHAnsi" w:cstheme="minorHAnsi"/>
          <w:color w:val="000000" w:themeColor="text1"/>
          <w:vertAlign w:val="superscript"/>
        </w:rPr>
        <w:t>2</w:t>
      </w:r>
      <w:r w:rsidRPr="009C2E55">
        <w:rPr>
          <w:rFonts w:asciiTheme="minorHAnsi" w:hAnsiTheme="minorHAnsi" w:cstheme="minorHAnsi"/>
          <w:color w:val="000000" w:themeColor="text1"/>
        </w:rPr>
        <w:t xml:space="preserve"> Tamté</w:t>
      </w:r>
      <w:r>
        <w:rPr>
          <w:rFonts w:asciiTheme="minorHAnsi" w:hAnsiTheme="minorHAnsi" w:cstheme="minorHAnsi"/>
          <w:color w:val="000000" w:themeColor="text1"/>
        </w:rPr>
        <w:t>ž</w:t>
      </w:r>
    </w:p>
    <w:p w14:paraId="277BA5CD" w14:textId="24FA0CBB" w:rsidR="00725052" w:rsidRPr="00BC4EF0" w:rsidRDefault="00725052" w:rsidP="00725052">
      <w:pPr>
        <w:spacing w:line="240" w:lineRule="auto"/>
      </w:pPr>
      <w:r w:rsidRPr="00455A3C">
        <w:rPr>
          <w:b/>
        </w:rPr>
        <w:lastRenderedPageBreak/>
        <w:t>Pro více informací kontaktujte:</w:t>
      </w:r>
    </w:p>
    <w:p w14:paraId="4D946650" w14:textId="46CEA880" w:rsidR="00725052" w:rsidRPr="00455A3C" w:rsidRDefault="00725052" w:rsidP="00725052">
      <w:pPr>
        <w:spacing w:before="0" w:line="360" w:lineRule="auto"/>
        <w:rPr>
          <w:b/>
        </w:rPr>
      </w:pPr>
    </w:p>
    <w:p w14:paraId="5125F7C8" w14:textId="1F527A03" w:rsidR="00725052" w:rsidRDefault="00725052" w:rsidP="00725052">
      <w:pPr>
        <w:spacing w:before="0" w:line="240" w:lineRule="atLeast"/>
        <w:rPr>
          <w:b/>
        </w:rPr>
      </w:pPr>
      <w:r>
        <w:rPr>
          <w:b/>
        </w:rPr>
        <w:t>Eliška Krohová</w:t>
      </w:r>
    </w:p>
    <w:p w14:paraId="389FA300" w14:textId="77777777" w:rsidR="00725052" w:rsidRPr="00455A3C" w:rsidRDefault="00725052" w:rsidP="00725052">
      <w:pPr>
        <w:spacing w:before="0" w:line="240" w:lineRule="atLeast"/>
        <w:rPr>
          <w:b/>
          <w:bCs/>
        </w:rPr>
      </w:pPr>
      <w:r w:rsidRPr="00455A3C">
        <w:rPr>
          <w:b/>
          <w:bCs/>
        </w:rPr>
        <w:t>Crest Communications, a.s.</w:t>
      </w:r>
    </w:p>
    <w:p w14:paraId="5F3D0DB1" w14:textId="77777777" w:rsidR="00725052" w:rsidRPr="00455A3C" w:rsidRDefault="00725052" w:rsidP="00725052">
      <w:pPr>
        <w:spacing w:before="0" w:line="240" w:lineRule="atLeast"/>
      </w:pPr>
    </w:p>
    <w:p w14:paraId="44431F36" w14:textId="77777777" w:rsidR="00725052" w:rsidRPr="00455A3C" w:rsidRDefault="00725052" w:rsidP="00725052">
      <w:pPr>
        <w:spacing w:before="0" w:line="240" w:lineRule="atLeast"/>
      </w:pPr>
      <w:r w:rsidRPr="00455A3C">
        <w:t>Ostrovní 126/30</w:t>
      </w:r>
    </w:p>
    <w:p w14:paraId="5E112146" w14:textId="7777777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proofErr w:type="spellStart"/>
      <w:r>
        <w:t>gsm</w:t>
      </w:r>
      <w:proofErr w:type="spellEnd"/>
      <w:r>
        <w:t>: + 420 720 406 659</w:t>
      </w:r>
    </w:p>
    <w:p w14:paraId="0AF239BB" w14:textId="77777777" w:rsidR="00725052" w:rsidRPr="00455A3C" w:rsidRDefault="006A04AE" w:rsidP="00725052">
      <w:pPr>
        <w:spacing w:before="0" w:line="240" w:lineRule="atLeast"/>
      </w:pPr>
      <w:hyperlink w:tooltip="blocked::http://www.crestcom.cz&#10;http://www.crestcom.cz/" w:history="1">
        <w:r w:rsidR="00725052" w:rsidRPr="00455A3C">
          <w:rPr>
            <w:rStyle w:val="Hypertextovodkaz"/>
            <w:color w:val="990033"/>
          </w:rPr>
          <w:t>www.crestcom.cz</w:t>
        </w:r>
      </w:hyperlink>
    </w:p>
    <w:p w14:paraId="5742EE82" w14:textId="5F4352F5" w:rsidR="00D404D5" w:rsidRDefault="00725052" w:rsidP="00480E25">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0812FE31" w14:textId="77777777" w:rsidR="00480E25" w:rsidRPr="00480E25" w:rsidRDefault="00480E25" w:rsidP="00480E25">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5322805B" w14:textId="605EEE72" w:rsidR="00221EE4" w:rsidRPr="00D404D5" w:rsidRDefault="00D404D5" w:rsidP="00D404D5">
      <w:pPr>
        <w:shd w:val="clear" w:color="auto" w:fill="FFFFFF"/>
        <w:spacing w:before="0" w:line="360" w:lineRule="atLeast"/>
        <w:rPr>
          <w:rFonts w:ascii="Open Sans" w:hAnsi="Open Sans" w:cs="Open Sans"/>
          <w:color w:val="333333"/>
          <w:spacing w:val="15"/>
          <w:sz w:val="21"/>
          <w:szCs w:val="21"/>
        </w:rPr>
      </w:pPr>
      <w:proofErr w:type="spellStart"/>
      <w:r w:rsidRPr="00D404D5">
        <w:rPr>
          <w:b/>
          <w:bCs/>
        </w:rPr>
        <w:t>Fidelity</w:t>
      </w:r>
      <w:proofErr w:type="spellEnd"/>
      <w:r w:rsidRPr="00D404D5">
        <w:rPr>
          <w:b/>
          <w:bCs/>
        </w:rPr>
        <w:t xml:space="preserve">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w:t>
      </w:r>
      <w:proofErr w:type="gramStart"/>
      <w:r w:rsidRPr="00D404D5">
        <w:rPr>
          <w:color w:val="000000"/>
          <w:lang w:eastAsia="en-US"/>
        </w:rPr>
        <w:t>liší</w:t>
      </w:r>
      <w:proofErr w:type="gramEnd"/>
      <w:r w:rsidRPr="00D404D5">
        <w:rPr>
          <w:color w:val="000000"/>
          <w:lang w:eastAsia="en-US"/>
        </w:rPr>
        <w:t xml:space="preserve">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w:t>
      </w:r>
      <w:proofErr w:type="gramStart"/>
      <w:r w:rsidRPr="00D404D5">
        <w:rPr>
          <w:color w:val="000000"/>
          <w:lang w:eastAsia="en-US"/>
        </w:rPr>
        <w:t>patří</w:t>
      </w:r>
      <w:proofErr w:type="gramEnd"/>
      <w:r w:rsidRPr="00D404D5">
        <w:rPr>
          <w:color w:val="000000"/>
          <w:lang w:eastAsia="en-US"/>
        </w:rPr>
        <w:t xml:space="preserve">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56CB95C2" w14:textId="5B3D1F12" w:rsidR="009C2E55" w:rsidRPr="009C2E55" w:rsidRDefault="00172511" w:rsidP="009C2E55">
      <w:pPr>
        <w:rPr>
          <w:b/>
          <w:bCs/>
        </w:rPr>
      </w:pPr>
      <w:r>
        <w:rPr>
          <w:b/>
          <w:bCs/>
        </w:rPr>
        <w:t>Důležité upozornění</w:t>
      </w:r>
    </w:p>
    <w:p w14:paraId="09DFC576" w14:textId="77777777" w:rsidR="009C2E55" w:rsidRPr="009C2E55" w:rsidRDefault="009C2E55" w:rsidP="00617E2A">
      <w:pPr>
        <w:pStyle w:val="Normlnweb"/>
        <w:numPr>
          <w:ilvl w:val="0"/>
          <w:numId w:val="48"/>
        </w:numPr>
        <w:shd w:val="clear" w:color="auto" w:fill="FFFFFF"/>
        <w:spacing w:before="0" w:after="210" w:line="240" w:lineRule="auto"/>
        <w:rPr>
          <w:color w:val="000000"/>
          <w:lang w:eastAsia="en-US"/>
        </w:rPr>
      </w:pPr>
      <w:r w:rsidRPr="009C2E55">
        <w:rPr>
          <w:color w:val="000000"/>
          <w:lang w:eastAsia="en-US"/>
        </w:rPr>
        <w:t>Tento materiál je určen pouze profesionálním investorům a neměl by být využíván soukromými investory.</w:t>
      </w:r>
    </w:p>
    <w:p w14:paraId="68A6F297" w14:textId="77777777" w:rsidR="009C2E55" w:rsidRPr="009C2E55" w:rsidRDefault="009C2E55" w:rsidP="00617E2A">
      <w:pPr>
        <w:pStyle w:val="Normlnweb"/>
        <w:numPr>
          <w:ilvl w:val="0"/>
          <w:numId w:val="48"/>
        </w:numPr>
        <w:shd w:val="clear" w:color="auto" w:fill="FFFFFF"/>
        <w:spacing w:before="0" w:after="210" w:line="240" w:lineRule="auto"/>
        <w:rPr>
          <w:color w:val="000000"/>
          <w:lang w:eastAsia="en-US"/>
        </w:rPr>
      </w:pPr>
      <w:r w:rsidRPr="009C2E55">
        <w:rPr>
          <w:color w:val="000000"/>
          <w:lang w:eastAsia="en-US"/>
        </w:rPr>
        <w:t>Hodnota investic a souvisejících příjmů může klesnout stejně jako vzrůst a vy nebo klienti můžete nakonec získat méně, než jste investovali.</w:t>
      </w:r>
    </w:p>
    <w:p w14:paraId="67B589EF" w14:textId="77777777" w:rsidR="009C2E55" w:rsidRPr="009C2E55" w:rsidRDefault="009C2E55" w:rsidP="00617E2A">
      <w:pPr>
        <w:pStyle w:val="Normlnweb"/>
        <w:numPr>
          <w:ilvl w:val="0"/>
          <w:numId w:val="48"/>
        </w:numPr>
        <w:shd w:val="clear" w:color="auto" w:fill="FFFFFF"/>
        <w:spacing w:before="0" w:after="210" w:line="240" w:lineRule="auto"/>
        <w:rPr>
          <w:color w:val="000000"/>
          <w:lang w:eastAsia="en-US"/>
        </w:rPr>
      </w:pPr>
      <w:r w:rsidRPr="009C2E55">
        <w:rPr>
          <w:color w:val="000000"/>
          <w:lang w:eastAsia="en-US"/>
        </w:rPr>
        <w:t>Tento fond investuje do zahraničních trhů, hodnota investice proto může být ovlivněna pohyby měnových kurzů.</w:t>
      </w:r>
    </w:p>
    <w:p w14:paraId="3A797210" w14:textId="77777777" w:rsidR="009C2E55" w:rsidRPr="009C2E55" w:rsidRDefault="009C2E55" w:rsidP="00617E2A">
      <w:pPr>
        <w:pStyle w:val="Normlnweb"/>
        <w:numPr>
          <w:ilvl w:val="0"/>
          <w:numId w:val="48"/>
        </w:numPr>
        <w:shd w:val="clear" w:color="auto" w:fill="FFFFFF"/>
        <w:spacing w:before="0" w:after="210" w:line="240" w:lineRule="auto"/>
        <w:rPr>
          <w:color w:val="000000"/>
          <w:lang w:eastAsia="en-US"/>
        </w:rPr>
      </w:pPr>
      <w:r w:rsidRPr="009C2E55">
        <w:rPr>
          <w:color w:val="000000"/>
          <w:lang w:eastAsia="en-US"/>
        </w:rPr>
        <w:t>Tento fond investuje do rozvíjejících se trhů, které mohou být méně stabilní než jiné rozvinutější trhy.</w:t>
      </w:r>
    </w:p>
    <w:p w14:paraId="60199A4A" w14:textId="77777777" w:rsidR="009C2E55" w:rsidRPr="009C2E55" w:rsidRDefault="009C2E55" w:rsidP="00617E2A">
      <w:pPr>
        <w:pStyle w:val="Normlnweb"/>
        <w:numPr>
          <w:ilvl w:val="0"/>
          <w:numId w:val="48"/>
        </w:numPr>
        <w:shd w:val="clear" w:color="auto" w:fill="FFFFFF"/>
        <w:spacing w:before="0" w:after="210" w:line="240" w:lineRule="auto"/>
        <w:rPr>
          <w:color w:val="000000"/>
          <w:lang w:eastAsia="en-US"/>
        </w:rPr>
      </w:pPr>
      <w:r w:rsidRPr="009C2E55">
        <w:rPr>
          <w:color w:val="000000"/>
          <w:lang w:eastAsia="en-US"/>
        </w:rPr>
        <w:t>Tento fond vzhledem ke složení portfolia nebo způsobu správy portfolia má nebo pravděpodobně bude mít vysokou volatilitu.</w:t>
      </w:r>
    </w:p>
    <w:p w14:paraId="5140F7DA" w14:textId="77777777" w:rsidR="009C2E55" w:rsidRPr="009C2E55" w:rsidRDefault="009C2E55" w:rsidP="00617E2A">
      <w:pPr>
        <w:pStyle w:val="Normlnweb"/>
        <w:numPr>
          <w:ilvl w:val="0"/>
          <w:numId w:val="48"/>
        </w:numPr>
        <w:shd w:val="clear" w:color="auto" w:fill="FFFFFF"/>
        <w:spacing w:before="0" w:after="210" w:line="240" w:lineRule="auto"/>
        <w:rPr>
          <w:color w:val="000000"/>
          <w:lang w:eastAsia="en-US"/>
        </w:rPr>
      </w:pPr>
      <w:r w:rsidRPr="009C2E55">
        <w:rPr>
          <w:color w:val="000000"/>
          <w:lang w:eastAsia="en-US"/>
        </w:rPr>
        <w:t>Tento fond využívá k investičním účelům finanční deriváty, což může znamenat vystavení vyššímu riziku a investoři mohou zaznamenat nadprůměrné výkyvy cen.</w:t>
      </w:r>
    </w:p>
    <w:p w14:paraId="44714069" w14:textId="77777777" w:rsidR="009C2E55" w:rsidRPr="009C2E55" w:rsidRDefault="009C2E55" w:rsidP="00617E2A">
      <w:pPr>
        <w:pStyle w:val="Normlnweb"/>
        <w:numPr>
          <w:ilvl w:val="0"/>
          <w:numId w:val="48"/>
        </w:numPr>
        <w:shd w:val="clear" w:color="auto" w:fill="FFFFFF"/>
        <w:spacing w:before="0" w:after="210" w:line="240" w:lineRule="auto"/>
        <w:rPr>
          <w:color w:val="000000"/>
          <w:lang w:eastAsia="en-US"/>
        </w:rPr>
      </w:pPr>
      <w:r w:rsidRPr="009C2E55">
        <w:rPr>
          <w:color w:val="000000"/>
          <w:lang w:eastAsia="en-US"/>
        </w:rPr>
        <w:t xml:space="preserve">Odkazy na konkrétní cenné papíry nemají být vykládány jako doporučení k jejich nákupu či prodeji. </w:t>
      </w:r>
      <w:proofErr w:type="gramStart"/>
      <w:r w:rsidRPr="009C2E55">
        <w:rPr>
          <w:color w:val="000000"/>
          <w:lang w:eastAsia="en-US"/>
        </w:rPr>
        <w:t>Slouží</w:t>
      </w:r>
      <w:proofErr w:type="gramEnd"/>
      <w:r w:rsidRPr="009C2E55">
        <w:rPr>
          <w:color w:val="000000"/>
          <w:lang w:eastAsia="en-US"/>
        </w:rPr>
        <w:t xml:space="preserve"> pouze pro ilustraci.</w:t>
      </w:r>
    </w:p>
    <w:p w14:paraId="47C0CA4B" w14:textId="77777777" w:rsidR="009C2E55" w:rsidRPr="009C2E55" w:rsidRDefault="009C2E55" w:rsidP="00617E2A">
      <w:pPr>
        <w:pStyle w:val="Normlnweb"/>
        <w:numPr>
          <w:ilvl w:val="0"/>
          <w:numId w:val="48"/>
        </w:numPr>
        <w:shd w:val="clear" w:color="auto" w:fill="FFFFFF"/>
        <w:spacing w:before="0" w:after="210" w:line="240" w:lineRule="auto"/>
        <w:rPr>
          <w:color w:val="000000"/>
          <w:lang w:eastAsia="en-US"/>
        </w:rPr>
      </w:pPr>
      <w:r w:rsidRPr="009C2E55">
        <w:rPr>
          <w:color w:val="000000"/>
          <w:lang w:eastAsia="en-US"/>
        </w:rPr>
        <w:t xml:space="preserve">Zaměření investičního manažera na cenné papíry společností, které mají silné "ESG" zaměření, může vést k výnosu, který může být někdy méně příznivý než u podobných produktů bez </w:t>
      </w:r>
      <w:r w:rsidRPr="009C2E55">
        <w:rPr>
          <w:color w:val="000000"/>
          <w:lang w:eastAsia="en-US"/>
        </w:rPr>
        <w:lastRenderedPageBreak/>
        <w:t>takového zaměření. Neposkytuje se žádné vyjádření ani záruka ohledně spravedlnosti, přesnosti nebo úplnosti takových zaměření. Status ESG cenného papíru se může v průběhu času měnit.</w:t>
      </w:r>
    </w:p>
    <w:p w14:paraId="4A1D8A65" w14:textId="77777777" w:rsidR="009C2E55" w:rsidRPr="009C2E55" w:rsidRDefault="009C2E55" w:rsidP="00617E2A">
      <w:pPr>
        <w:pStyle w:val="Normlnweb"/>
        <w:numPr>
          <w:ilvl w:val="0"/>
          <w:numId w:val="48"/>
        </w:numPr>
        <w:shd w:val="clear" w:color="auto" w:fill="FFFFFF"/>
        <w:spacing w:before="0" w:after="210" w:line="240" w:lineRule="auto"/>
        <w:rPr>
          <w:color w:val="000000"/>
          <w:lang w:eastAsia="en-US"/>
        </w:rPr>
      </w:pPr>
      <w:r w:rsidRPr="009C2E55">
        <w:rPr>
          <w:color w:val="000000"/>
          <w:lang w:eastAsia="en-US"/>
        </w:rPr>
        <w:t>Upozorňujeme investory, že vyjádřené názory již nemusejí být aktuální a společnost již na jejich základě mohla jednat.</w:t>
      </w:r>
    </w:p>
    <w:p w14:paraId="6B2F1FB1" w14:textId="18E609C4" w:rsidR="009C2E55" w:rsidRPr="009C2E55" w:rsidRDefault="009C2E55" w:rsidP="00617E2A">
      <w:pPr>
        <w:pStyle w:val="Normlnweb"/>
        <w:numPr>
          <w:ilvl w:val="0"/>
          <w:numId w:val="48"/>
        </w:numPr>
        <w:shd w:val="clear" w:color="auto" w:fill="FFFFFF"/>
        <w:spacing w:before="0" w:after="210" w:line="240" w:lineRule="auto"/>
        <w:rPr>
          <w:color w:val="000000"/>
          <w:lang w:eastAsia="en-US"/>
        </w:rPr>
      </w:pPr>
      <w:r w:rsidRPr="009C2E55">
        <w:rPr>
          <w:color w:val="000000"/>
          <w:lang w:eastAsia="en-US"/>
        </w:rPr>
        <w:t>Předchozí obchodní výsledky nejsou spolehlivým ukazatelem výsledků budoucích.</w:t>
      </w:r>
    </w:p>
    <w:p w14:paraId="402D7545" w14:textId="458D39E6" w:rsidR="00172511" w:rsidRDefault="00172511" w:rsidP="00617E2A">
      <w:pPr>
        <w:pStyle w:val="Normlnweb"/>
        <w:shd w:val="clear" w:color="auto" w:fill="FFFFFF"/>
        <w:spacing w:before="0"/>
        <w:rPr>
          <w:color w:val="000000"/>
          <w:lang w:eastAsia="en-US"/>
        </w:rPr>
      </w:pPr>
      <w:r>
        <w:rPr>
          <w:color w:val="000000"/>
          <w:lang w:eastAsia="en-US"/>
        </w:rPr>
        <w:t xml:space="preserve">Tento dokument nesmí být bez předchozího souhlasu rozmnožován nebo rozšiřován. </w:t>
      </w:r>
    </w:p>
    <w:p w14:paraId="55F30A84" w14:textId="77777777" w:rsidR="009C2E55" w:rsidRDefault="009C2E55" w:rsidP="00172511">
      <w:pPr>
        <w:pStyle w:val="Normlnweb"/>
        <w:shd w:val="clear" w:color="auto" w:fill="FFFFFF"/>
        <w:spacing w:before="0"/>
        <w:rPr>
          <w:lang w:eastAsia="en-US"/>
        </w:rPr>
      </w:pPr>
    </w:p>
    <w:p w14:paraId="2AF8B0EF" w14:textId="77777777" w:rsidR="00172511" w:rsidRDefault="00172511" w:rsidP="00172511">
      <w:pPr>
        <w:pStyle w:val="Normlnweb"/>
        <w:shd w:val="clear" w:color="auto" w:fill="FFFFFF"/>
        <w:spacing w:before="0" w:after="240"/>
        <w:rPr>
          <w:lang w:eastAsia="en-US"/>
        </w:rPr>
      </w:pPr>
      <w:proofErr w:type="spellStart"/>
      <w:r>
        <w:rPr>
          <w:color w:val="000000"/>
          <w:lang w:eastAsia="en-US"/>
        </w:rPr>
        <w:t>Fidelity</w:t>
      </w:r>
      <w:proofErr w:type="spellEnd"/>
      <w:r>
        <w:rPr>
          <w:color w:val="000000"/>
          <w:lang w:eastAsia="en-US"/>
        </w:rPr>
        <w:t xml:space="preserve"> International poskytuje informace pouze o svých produktech a neposkytuje investiční poradenství na základě individuálních potřeb, jinak než konkrétně řádně stanovené oprávněnou společností při formální komunikaci s klientem. </w:t>
      </w:r>
    </w:p>
    <w:p w14:paraId="21A884A3" w14:textId="77777777" w:rsidR="00172511" w:rsidRDefault="00172511" w:rsidP="00172511">
      <w:pPr>
        <w:pStyle w:val="Normlnweb"/>
        <w:shd w:val="clear" w:color="auto" w:fill="FFFFFF"/>
        <w:spacing w:before="0" w:after="240"/>
        <w:rPr>
          <w:lang w:eastAsia="en-US"/>
        </w:rPr>
      </w:pPr>
      <w:r>
        <w:rPr>
          <w:color w:val="000000"/>
          <w:lang w:eastAsia="en-US"/>
        </w:rPr>
        <w:t xml:space="preserve">Jako </w:t>
      </w:r>
      <w:proofErr w:type="spellStart"/>
      <w:r>
        <w:rPr>
          <w:color w:val="000000"/>
          <w:lang w:eastAsia="en-US"/>
        </w:rPr>
        <w:t>Fidelity</w:t>
      </w:r>
      <w:proofErr w:type="spellEnd"/>
      <w:r>
        <w:rPr>
          <w:color w:val="000000"/>
          <w:lang w:eastAsia="en-US"/>
        </w:rPr>
        <w:t xml:space="preserve"> International je označována skupina společností, které </w:t>
      </w:r>
      <w:proofErr w:type="gramStart"/>
      <w:r>
        <w:rPr>
          <w:color w:val="000000"/>
          <w:lang w:eastAsia="en-US"/>
        </w:rPr>
        <w:t>tvoří</w:t>
      </w:r>
      <w:proofErr w:type="gramEnd"/>
      <w:r>
        <w:rPr>
          <w:color w:val="000000"/>
          <w:lang w:eastAsia="en-US"/>
        </w:rPr>
        <w:t xml:space="preserve">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 </w:t>
      </w:r>
    </w:p>
    <w:p w14:paraId="58F52373" w14:textId="77777777" w:rsidR="00172511" w:rsidRDefault="00172511" w:rsidP="00172511">
      <w:pPr>
        <w:pStyle w:val="Normlnweb"/>
        <w:shd w:val="clear" w:color="auto" w:fill="FFFFFF"/>
        <w:spacing w:before="0" w:after="240"/>
        <w:rPr>
          <w:lang w:eastAsia="en-US"/>
        </w:rPr>
      </w:pPr>
      <w:r>
        <w:rPr>
          <w:color w:val="000000"/>
          <w:lang w:eastAsia="en-US"/>
        </w:rPr>
        <w:t xml:space="preserve">Všechny názory představují stanoviska společnosti </w:t>
      </w:r>
      <w:proofErr w:type="spellStart"/>
      <w:r>
        <w:rPr>
          <w:color w:val="000000"/>
          <w:lang w:eastAsia="en-US"/>
        </w:rPr>
        <w:t>Fidelity</w:t>
      </w:r>
      <w:proofErr w:type="spellEnd"/>
      <w:r>
        <w:rPr>
          <w:color w:val="000000"/>
          <w:lang w:eastAsia="en-US"/>
        </w:rPr>
        <w:t xml:space="preserve">, není-li uvedeno jinak. </w:t>
      </w:r>
      <w:proofErr w:type="spellStart"/>
      <w:r>
        <w:rPr>
          <w:color w:val="000000"/>
          <w:lang w:eastAsia="en-US"/>
        </w:rPr>
        <w:t>Fidelity</w:t>
      </w:r>
      <w:proofErr w:type="spellEnd"/>
      <w:r>
        <w:rPr>
          <w:color w:val="000000"/>
          <w:lang w:eastAsia="en-US"/>
        </w:rPr>
        <w:t xml:space="preserve">, </w:t>
      </w:r>
      <w:proofErr w:type="spellStart"/>
      <w:r>
        <w:rPr>
          <w:color w:val="000000"/>
          <w:lang w:eastAsia="en-US"/>
        </w:rPr>
        <w:t>Fidelity</w:t>
      </w:r>
      <w:proofErr w:type="spellEnd"/>
      <w:r>
        <w:rPr>
          <w:color w:val="000000"/>
          <w:lang w:eastAsia="en-US"/>
        </w:rPr>
        <w:t xml:space="preserve"> International a logo </w:t>
      </w:r>
      <w:proofErr w:type="spellStart"/>
      <w:r>
        <w:rPr>
          <w:color w:val="000000"/>
          <w:lang w:eastAsia="en-US"/>
        </w:rPr>
        <w:t>Fidelity</w:t>
      </w:r>
      <w:proofErr w:type="spellEnd"/>
      <w:r>
        <w:rPr>
          <w:color w:val="000000"/>
          <w:lang w:eastAsia="en-US"/>
        </w:rPr>
        <w:t xml:space="preserve"> International a symbol měny F jsou všechno ochrannými známkami společnosti FIL Limited.</w:t>
      </w:r>
    </w:p>
    <w:p w14:paraId="4F5DE27F" w14:textId="26D7D6BB" w:rsidR="00172511" w:rsidRDefault="00172511" w:rsidP="00172511">
      <w:pPr>
        <w:pStyle w:val="Normlnweb"/>
        <w:shd w:val="clear" w:color="auto" w:fill="FFFFFF"/>
        <w:spacing w:before="0" w:after="240"/>
        <w:rPr>
          <w:lang w:eastAsia="en-US"/>
        </w:rPr>
      </w:pPr>
      <w:r>
        <w:rPr>
          <w:color w:val="000000"/>
          <w:lang w:eastAsia="en-US"/>
        </w:rPr>
        <w:t xml:space="preserve">Údaje nejsou auditované. Odborníci provádějící průzkum zahrnují společníky a analytiky.  Jakákoli prohlášení či vyjádření učiněná v tomto dokumentu nejsou pro společnost </w:t>
      </w:r>
      <w:proofErr w:type="spellStart"/>
      <w:r>
        <w:rPr>
          <w:color w:val="000000"/>
          <w:lang w:eastAsia="en-US"/>
        </w:rPr>
        <w:t>Fidelity</w:t>
      </w:r>
      <w:proofErr w:type="spellEnd"/>
      <w:r>
        <w:rPr>
          <w:color w:val="000000"/>
          <w:lang w:eastAsia="en-US"/>
        </w:rPr>
        <w:t xml:space="preserve"> nebo příjemce právně závazná. Jakýkoli návrh je předmětem ujednání smluvních podmínek.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w:t>
      </w:r>
      <w:hyperlink r:id="rId15" w:history="1">
        <w:r>
          <w:rPr>
            <w:rStyle w:val="Hypertextovodkaz"/>
            <w:lang w:eastAsia="en-US"/>
          </w:rPr>
          <w:t>https://www.fidelityinternational.com</w:t>
        </w:r>
      </w:hyperlink>
      <w:r>
        <w:rPr>
          <w:color w:val="000000"/>
          <w:lang w:eastAsia="en-US"/>
        </w:rPr>
        <w:t xml:space="preserve"> nebo od našich </w:t>
      </w:r>
      <w:proofErr w:type="spellStart"/>
      <w:r>
        <w:rPr>
          <w:color w:val="000000"/>
          <w:lang w:eastAsia="en-US"/>
        </w:rPr>
        <w:t>distributořů</w:t>
      </w:r>
      <w:proofErr w:type="spellEnd"/>
      <w:r>
        <w:rPr>
          <w:color w:val="000000"/>
          <w:lang w:eastAsia="en-US"/>
        </w:rPr>
        <w:t xml:space="preserve"> a našeho evropského Centra služeb v Lucembursku, sídlící na adrese FIL (</w:t>
      </w:r>
      <w:proofErr w:type="spellStart"/>
      <w:r>
        <w:rPr>
          <w:color w:val="000000"/>
          <w:lang w:eastAsia="en-US"/>
        </w:rPr>
        <w:t>Luxembourg</w:t>
      </w:r>
      <w:proofErr w:type="spellEnd"/>
      <w:r>
        <w:rPr>
          <w:color w:val="000000"/>
          <w:lang w:eastAsia="en-US"/>
        </w:rPr>
        <w:t xml:space="preserve">) S.A. 2a, </w:t>
      </w:r>
      <w:proofErr w:type="spellStart"/>
      <w:r>
        <w:rPr>
          <w:color w:val="000000"/>
          <w:lang w:eastAsia="en-US"/>
        </w:rPr>
        <w:t>rue</w:t>
      </w:r>
      <w:proofErr w:type="spellEnd"/>
      <w:r>
        <w:rPr>
          <w:color w:val="000000"/>
          <w:lang w:eastAsia="en-US"/>
        </w:rPr>
        <w:t xml:space="preserve"> Albert </w:t>
      </w:r>
      <w:proofErr w:type="spellStart"/>
      <w:r>
        <w:rPr>
          <w:color w:val="000000"/>
          <w:lang w:eastAsia="en-US"/>
        </w:rPr>
        <w:t>Borschette</w:t>
      </w:r>
      <w:proofErr w:type="spellEnd"/>
      <w:r>
        <w:rPr>
          <w:color w:val="000000"/>
          <w:lang w:eastAsia="en-US"/>
        </w:rPr>
        <w:t xml:space="preserve"> BP 2174 L-1021 </w:t>
      </w:r>
      <w:proofErr w:type="spellStart"/>
      <w:r>
        <w:rPr>
          <w:color w:val="000000"/>
          <w:lang w:eastAsia="en-US"/>
        </w:rPr>
        <w:t>Luxembourg</w:t>
      </w:r>
      <w:proofErr w:type="spellEnd"/>
      <w:r>
        <w:rPr>
          <w:color w:val="000000"/>
          <w:lang w:eastAsia="en-US"/>
        </w:rPr>
        <w:t>.</w:t>
      </w:r>
    </w:p>
    <w:p w14:paraId="6EBDA300" w14:textId="25C81B6D" w:rsidR="00172511" w:rsidRPr="00617E2A" w:rsidRDefault="00172511" w:rsidP="00617E2A">
      <w:pPr>
        <w:pStyle w:val="Normlnweb"/>
        <w:shd w:val="clear" w:color="auto" w:fill="FFFFFF"/>
        <w:spacing w:before="0" w:after="240"/>
        <w:rPr>
          <w:color w:val="000000"/>
          <w:lang w:eastAsia="en-US"/>
        </w:rPr>
      </w:pPr>
      <w:proofErr w:type="spellStart"/>
      <w:r>
        <w:rPr>
          <w:color w:val="000000"/>
          <w:lang w:eastAsia="en-US"/>
        </w:rPr>
        <w:t>Fidelity</w:t>
      </w:r>
      <w:proofErr w:type="spellEnd"/>
      <w:r>
        <w:rPr>
          <w:color w:val="000000"/>
          <w:lang w:eastAsia="en-US"/>
        </w:rPr>
        <w:t xml:space="preserve"> </w:t>
      </w:r>
      <w:proofErr w:type="spellStart"/>
      <w:r>
        <w:rPr>
          <w:color w:val="000000"/>
          <w:lang w:eastAsia="en-US"/>
        </w:rPr>
        <w:t>Funds</w:t>
      </w:r>
      <w:proofErr w:type="spellEnd"/>
      <w:r>
        <w:rPr>
          <w:color w:val="000000"/>
          <w:lang w:eastAsia="en-US"/>
        </w:rPr>
        <w:t xml:space="preserve"> “FF” je otevřená investiční společnost (SKIPCP) sídlící v Lucembursku, která disponuje akciemi různých tříd. Společnost FIL </w:t>
      </w:r>
      <w:proofErr w:type="spellStart"/>
      <w:r>
        <w:rPr>
          <w:color w:val="000000"/>
          <w:lang w:eastAsia="en-US"/>
        </w:rPr>
        <w:t>Investment</w:t>
      </w:r>
      <w:proofErr w:type="spellEnd"/>
      <w:r>
        <w:rPr>
          <w:color w:val="000000"/>
          <w:lang w:eastAsia="en-US"/>
        </w:rPr>
        <w:t xml:space="preserve"> Management (</w:t>
      </w:r>
      <w:proofErr w:type="spellStart"/>
      <w:r>
        <w:rPr>
          <w:color w:val="000000"/>
          <w:lang w:eastAsia="en-US"/>
        </w:rPr>
        <w:t>Luxembourg</w:t>
      </w:r>
      <w:proofErr w:type="spellEnd"/>
      <w:r>
        <w:rPr>
          <w:color w:val="000000"/>
          <w:lang w:eastAsia="en-US"/>
        </w:rPr>
        <w:t xml:space="preserve">) S.A. si vyhrazuje právo ukončit nabízení podfondu a jeho podílových jednotek na trhu v souladu s článkem 93 písm. a) směrnice 2009/65/ES a článkem 32 písm. a) směrnice 2011/61/EU. Toto ukončení bude předem oznámeno v Lucembursku. </w:t>
      </w:r>
      <w:r w:rsidR="00617E2A" w:rsidRPr="00617E2A">
        <w:rPr>
          <w:color w:val="000000"/>
          <w:lang w:eastAsia="en-US"/>
        </w:rPr>
        <w:t>Držení se může lišit od podílů v kótovaném indexu. Z tohoto důvodu se srovnávací index používá pouze pro informaci.</w:t>
      </w:r>
      <w:r w:rsidR="00617E2A">
        <w:rPr>
          <w:color w:val="000000"/>
          <w:lang w:eastAsia="en-US"/>
        </w:rPr>
        <w:t xml:space="preserve"> </w:t>
      </w:r>
      <w:r>
        <w:rPr>
          <w:color w:val="000000"/>
          <w:lang w:eastAsia="en-US"/>
        </w:rPr>
        <w:t>Vydala společnost FIL (</w:t>
      </w:r>
      <w:proofErr w:type="spellStart"/>
      <w:r>
        <w:rPr>
          <w:color w:val="000000"/>
          <w:lang w:eastAsia="en-US"/>
        </w:rPr>
        <w:t>Luxembourg</w:t>
      </w:r>
      <w:proofErr w:type="spellEnd"/>
      <w:r>
        <w:rPr>
          <w:color w:val="000000"/>
          <w:lang w:eastAsia="en-US"/>
        </w:rPr>
        <w:t>) S.A., které bylo uděleno povolení a podléhá dohledu dozorčí komise CSSF (</w:t>
      </w:r>
      <w:proofErr w:type="spellStart"/>
      <w:r>
        <w:rPr>
          <w:color w:val="000000"/>
          <w:lang w:eastAsia="en-US"/>
        </w:rPr>
        <w:t>Commission</w:t>
      </w:r>
      <w:proofErr w:type="spellEnd"/>
      <w:r>
        <w:rPr>
          <w:color w:val="000000"/>
          <w:lang w:eastAsia="en-US"/>
        </w:rPr>
        <w:t xml:space="preserve"> de </w:t>
      </w:r>
      <w:proofErr w:type="spellStart"/>
      <w:r>
        <w:rPr>
          <w:color w:val="000000"/>
          <w:lang w:eastAsia="en-US"/>
        </w:rPr>
        <w:t>Surveillance</w:t>
      </w:r>
      <w:proofErr w:type="spellEnd"/>
      <w:r>
        <w:rPr>
          <w:color w:val="000000"/>
          <w:lang w:eastAsia="en-US"/>
        </w:rPr>
        <w:t xml:space="preserve"> </w:t>
      </w:r>
      <w:proofErr w:type="spellStart"/>
      <w:r>
        <w:rPr>
          <w:color w:val="000000"/>
          <w:lang w:eastAsia="en-US"/>
        </w:rPr>
        <w:t>du</w:t>
      </w:r>
      <w:proofErr w:type="spellEnd"/>
      <w:r>
        <w:rPr>
          <w:color w:val="000000"/>
          <w:lang w:eastAsia="en-US"/>
        </w:rPr>
        <w:t xml:space="preserve"> </w:t>
      </w:r>
      <w:proofErr w:type="spellStart"/>
      <w:r>
        <w:rPr>
          <w:color w:val="000000"/>
          <w:lang w:eastAsia="en-US"/>
        </w:rPr>
        <w:t>Secteur</w:t>
      </w:r>
      <w:proofErr w:type="spellEnd"/>
      <w:r>
        <w:rPr>
          <w:color w:val="000000"/>
          <w:lang w:eastAsia="en-US"/>
        </w:rPr>
        <w:t xml:space="preserve"> </w:t>
      </w:r>
      <w:proofErr w:type="spellStart"/>
      <w:r>
        <w:rPr>
          <w:color w:val="000000"/>
          <w:lang w:eastAsia="en-US"/>
        </w:rPr>
        <w:t>Financier</w:t>
      </w:r>
      <w:proofErr w:type="spellEnd"/>
      <w:r>
        <w:rPr>
          <w:color w:val="000000"/>
          <w:lang w:eastAsia="en-US"/>
        </w:rPr>
        <w:t xml:space="preserve">). </w:t>
      </w:r>
    </w:p>
    <w:p w14:paraId="7C2325E4" w14:textId="77777777" w:rsidR="00172511" w:rsidRDefault="00172511" w:rsidP="00172511">
      <w:pPr>
        <w:pStyle w:val="Normlnweb"/>
        <w:shd w:val="clear" w:color="auto" w:fill="FFFFFF"/>
        <w:spacing w:before="0"/>
        <w:rPr>
          <w:lang w:eastAsia="en-US"/>
        </w:rPr>
      </w:pPr>
      <w:r>
        <w:rPr>
          <w:color w:val="000000"/>
          <w:lang w:eastAsia="en-US"/>
        </w:rPr>
        <w:t xml:space="preserve">Investoři a potenciální investoři mohou získat informace o svých právech ve spojení se stížnostmi a soudními spory na tomto odkazu: </w:t>
      </w:r>
      <w:hyperlink r:id="rId16" w:history="1">
        <w:r>
          <w:rPr>
            <w:rStyle w:val="Hypertextovodkaz"/>
            <w:lang w:eastAsia="en-US"/>
          </w:rPr>
          <w:t>https://www.fidelity.cz</w:t>
        </w:r>
      </w:hyperlink>
      <w:r>
        <w:rPr>
          <w:color w:val="000000"/>
          <w:lang w:eastAsia="en-US"/>
        </w:rPr>
        <w:t xml:space="preserve"> (v češtině).</w:t>
      </w:r>
    </w:p>
    <w:p w14:paraId="6B71956F" w14:textId="77777777" w:rsidR="00172511" w:rsidRDefault="00172511" w:rsidP="00172511">
      <w:pPr>
        <w:rPr>
          <w:lang w:eastAsia="en-US"/>
        </w:rPr>
      </w:pPr>
    </w:p>
    <w:p w14:paraId="131D4607" w14:textId="34C55E9D" w:rsidR="00A7414F" w:rsidRPr="00534D3B" w:rsidRDefault="00534D3B" w:rsidP="00172511">
      <w:pPr>
        <w:pStyle w:val="FIL3Body"/>
        <w:jc w:val="both"/>
        <w:rPr>
          <w:rFonts w:cs="Arial"/>
          <w:color w:val="000000"/>
          <w:sz w:val="20"/>
          <w:szCs w:val="20"/>
          <w:lang w:val="cs-CZ" w:eastAsia="en-US"/>
        </w:rPr>
      </w:pPr>
      <w:r w:rsidRPr="00534D3B">
        <w:rPr>
          <w:rFonts w:cs="Arial"/>
          <w:color w:val="000000"/>
          <w:sz w:val="20"/>
          <w:szCs w:val="20"/>
          <w:lang w:val="cs-CZ" w:eastAsia="en-US"/>
        </w:rPr>
        <w:t>MKAT103</w:t>
      </w:r>
      <w:r w:rsidR="009C2E55">
        <w:rPr>
          <w:rFonts w:cs="Arial"/>
          <w:color w:val="000000"/>
          <w:sz w:val="20"/>
          <w:szCs w:val="20"/>
          <w:lang w:val="cs-CZ" w:eastAsia="en-US"/>
        </w:rPr>
        <w:t>74</w:t>
      </w:r>
    </w:p>
    <w:sectPr w:rsidR="00A7414F" w:rsidRPr="00534D3B" w:rsidSect="002F1160">
      <w:headerReference w:type="default" r:id="rId17"/>
      <w:footerReference w:type="default" r:id="rId18"/>
      <w:headerReference w:type="first" r:id="rId19"/>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9A3F" w14:textId="77777777" w:rsidR="006A04AE" w:rsidRDefault="006A04AE">
      <w:r>
        <w:separator/>
      </w:r>
    </w:p>
  </w:endnote>
  <w:endnote w:type="continuationSeparator" w:id="0">
    <w:p w14:paraId="55C39E4B" w14:textId="77777777" w:rsidR="006A04AE" w:rsidRDefault="006A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8BBD" w14:textId="77777777" w:rsidR="006A04AE" w:rsidRDefault="006A04AE">
      <w:r>
        <w:separator/>
      </w:r>
    </w:p>
  </w:footnote>
  <w:footnote w:type="continuationSeparator" w:id="0">
    <w:p w14:paraId="190DB25F" w14:textId="77777777" w:rsidR="006A04AE" w:rsidRDefault="006A04AE">
      <w:r>
        <w:continuationSeparator/>
      </w:r>
    </w:p>
  </w:footnote>
  <w:footnote w:type="continuationNotice" w:id="1">
    <w:p w14:paraId="0BA8992D" w14:textId="77777777" w:rsidR="006A04AE" w:rsidRDefault="006A0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8"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9"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1"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E01435"/>
    <w:multiLevelType w:val="hybridMultilevel"/>
    <w:tmpl w:val="F5E4C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40"/>
  </w:num>
  <w:num w:numId="4">
    <w:abstractNumId w:val="44"/>
  </w:num>
  <w:num w:numId="5">
    <w:abstractNumId w:val="24"/>
  </w:num>
  <w:num w:numId="6">
    <w:abstractNumId w:val="26"/>
  </w:num>
  <w:num w:numId="7">
    <w:abstractNumId w:val="20"/>
  </w:num>
  <w:num w:numId="8">
    <w:abstractNumId w:val="43"/>
  </w:num>
  <w:num w:numId="9">
    <w:abstractNumId w:val="32"/>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42"/>
  </w:num>
  <w:num w:numId="22">
    <w:abstractNumId w:val="39"/>
  </w:num>
  <w:num w:numId="23">
    <w:abstractNumId w:val="1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1"/>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13"/>
  </w:num>
  <w:num w:numId="33">
    <w:abstractNumId w:val="33"/>
  </w:num>
  <w:num w:numId="34">
    <w:abstractNumId w:val="12"/>
  </w:num>
  <w:num w:numId="35">
    <w:abstractNumId w:val="37"/>
  </w:num>
  <w:num w:numId="36">
    <w:abstractNumId w:val="11"/>
  </w:num>
  <w:num w:numId="37">
    <w:abstractNumId w:val="34"/>
  </w:num>
  <w:num w:numId="38">
    <w:abstractNumId w:val="22"/>
  </w:num>
  <w:num w:numId="39">
    <w:abstractNumId w:val="29"/>
  </w:num>
  <w:num w:numId="40">
    <w:abstractNumId w:val="18"/>
  </w:num>
  <w:num w:numId="41">
    <w:abstractNumId w:val="36"/>
  </w:num>
  <w:num w:numId="42">
    <w:abstractNumId w:val="17"/>
  </w:num>
  <w:num w:numId="43">
    <w:abstractNumId w:val="25"/>
  </w:num>
  <w:num w:numId="44">
    <w:abstractNumId w:val="27"/>
  </w:num>
  <w:num w:numId="45">
    <w:abstractNumId w:val="30"/>
  </w:num>
  <w:num w:numId="46">
    <w:abstractNumId w:val="14"/>
  </w:num>
  <w:num w:numId="47">
    <w:abstractNumId w:val="21"/>
  </w:num>
  <w:num w:numId="48">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83E"/>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7DF"/>
    <w:rsid w:val="00076A25"/>
    <w:rsid w:val="00080750"/>
    <w:rsid w:val="00081DCE"/>
    <w:rsid w:val="00084075"/>
    <w:rsid w:val="00092137"/>
    <w:rsid w:val="00093C6A"/>
    <w:rsid w:val="00093E98"/>
    <w:rsid w:val="000940D0"/>
    <w:rsid w:val="000A2833"/>
    <w:rsid w:val="000A2D6F"/>
    <w:rsid w:val="000A3FFF"/>
    <w:rsid w:val="000A5FDF"/>
    <w:rsid w:val="000A755E"/>
    <w:rsid w:val="000B0FBB"/>
    <w:rsid w:val="000B2426"/>
    <w:rsid w:val="000C0E0E"/>
    <w:rsid w:val="000C4D6D"/>
    <w:rsid w:val="000C5471"/>
    <w:rsid w:val="000C727D"/>
    <w:rsid w:val="000C772F"/>
    <w:rsid w:val="000D3C66"/>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511"/>
    <w:rsid w:val="00172F1C"/>
    <w:rsid w:val="0017506A"/>
    <w:rsid w:val="00177E1C"/>
    <w:rsid w:val="0018406F"/>
    <w:rsid w:val="0018525E"/>
    <w:rsid w:val="0018797C"/>
    <w:rsid w:val="00193268"/>
    <w:rsid w:val="00193655"/>
    <w:rsid w:val="00193CC3"/>
    <w:rsid w:val="00197E01"/>
    <w:rsid w:val="001A0CB6"/>
    <w:rsid w:val="001A1B9B"/>
    <w:rsid w:val="001A3CA7"/>
    <w:rsid w:val="001A68C4"/>
    <w:rsid w:val="001A7DE3"/>
    <w:rsid w:val="001B23C8"/>
    <w:rsid w:val="001B2BE9"/>
    <w:rsid w:val="001B353C"/>
    <w:rsid w:val="001B489F"/>
    <w:rsid w:val="001B69B7"/>
    <w:rsid w:val="001C5A91"/>
    <w:rsid w:val="001C5DB0"/>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DDA"/>
    <w:rsid w:val="0021765E"/>
    <w:rsid w:val="0021778F"/>
    <w:rsid w:val="00221EE4"/>
    <w:rsid w:val="00224347"/>
    <w:rsid w:val="00224EAE"/>
    <w:rsid w:val="00225670"/>
    <w:rsid w:val="00230204"/>
    <w:rsid w:val="0023028F"/>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3679"/>
    <w:rsid w:val="00296721"/>
    <w:rsid w:val="00296E4C"/>
    <w:rsid w:val="00297E46"/>
    <w:rsid w:val="002A0553"/>
    <w:rsid w:val="002A4D2E"/>
    <w:rsid w:val="002B0AFD"/>
    <w:rsid w:val="002B0B15"/>
    <w:rsid w:val="002B2991"/>
    <w:rsid w:val="002B5926"/>
    <w:rsid w:val="002B6FCD"/>
    <w:rsid w:val="002B72A2"/>
    <w:rsid w:val="002B7380"/>
    <w:rsid w:val="002C6682"/>
    <w:rsid w:val="002D0CC4"/>
    <w:rsid w:val="002D0CD4"/>
    <w:rsid w:val="002D7CBC"/>
    <w:rsid w:val="002E497E"/>
    <w:rsid w:val="002F0500"/>
    <w:rsid w:val="002F1160"/>
    <w:rsid w:val="00301881"/>
    <w:rsid w:val="00303102"/>
    <w:rsid w:val="00310E2F"/>
    <w:rsid w:val="003177AF"/>
    <w:rsid w:val="00320015"/>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B42"/>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594"/>
    <w:rsid w:val="003C19B7"/>
    <w:rsid w:val="003C4059"/>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0D53"/>
    <w:rsid w:val="00425B35"/>
    <w:rsid w:val="00427801"/>
    <w:rsid w:val="0043115E"/>
    <w:rsid w:val="00431E52"/>
    <w:rsid w:val="00433AB4"/>
    <w:rsid w:val="0043546F"/>
    <w:rsid w:val="004428A1"/>
    <w:rsid w:val="00445D92"/>
    <w:rsid w:val="0045291A"/>
    <w:rsid w:val="00452BD8"/>
    <w:rsid w:val="004544F8"/>
    <w:rsid w:val="00454D44"/>
    <w:rsid w:val="00455259"/>
    <w:rsid w:val="00455A3C"/>
    <w:rsid w:val="0046155B"/>
    <w:rsid w:val="00463E8F"/>
    <w:rsid w:val="00464475"/>
    <w:rsid w:val="004705A5"/>
    <w:rsid w:val="0047275D"/>
    <w:rsid w:val="00475575"/>
    <w:rsid w:val="00480C04"/>
    <w:rsid w:val="00480E25"/>
    <w:rsid w:val="004863EC"/>
    <w:rsid w:val="00487542"/>
    <w:rsid w:val="0049074E"/>
    <w:rsid w:val="004907F4"/>
    <w:rsid w:val="00493172"/>
    <w:rsid w:val="004955BB"/>
    <w:rsid w:val="004A0EA9"/>
    <w:rsid w:val="004A3C5B"/>
    <w:rsid w:val="004A461C"/>
    <w:rsid w:val="004B29BE"/>
    <w:rsid w:val="004B366C"/>
    <w:rsid w:val="004B4063"/>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14DF"/>
    <w:rsid w:val="00534D3B"/>
    <w:rsid w:val="005351B3"/>
    <w:rsid w:val="005437B4"/>
    <w:rsid w:val="0054471F"/>
    <w:rsid w:val="005459F5"/>
    <w:rsid w:val="00545B68"/>
    <w:rsid w:val="00546CB9"/>
    <w:rsid w:val="00546DF7"/>
    <w:rsid w:val="0055121B"/>
    <w:rsid w:val="00552B6E"/>
    <w:rsid w:val="00557A71"/>
    <w:rsid w:val="00560AED"/>
    <w:rsid w:val="005623DD"/>
    <w:rsid w:val="00563B23"/>
    <w:rsid w:val="0056452E"/>
    <w:rsid w:val="005656FB"/>
    <w:rsid w:val="00567010"/>
    <w:rsid w:val="00570CA6"/>
    <w:rsid w:val="00570F18"/>
    <w:rsid w:val="005720AF"/>
    <w:rsid w:val="0057387E"/>
    <w:rsid w:val="005847DC"/>
    <w:rsid w:val="005856EF"/>
    <w:rsid w:val="00585CC6"/>
    <w:rsid w:val="00591893"/>
    <w:rsid w:val="00592351"/>
    <w:rsid w:val="00594C42"/>
    <w:rsid w:val="00596841"/>
    <w:rsid w:val="005A0345"/>
    <w:rsid w:val="005A0903"/>
    <w:rsid w:val="005A2203"/>
    <w:rsid w:val="005A25B7"/>
    <w:rsid w:val="005A33F3"/>
    <w:rsid w:val="005A3C0F"/>
    <w:rsid w:val="005A3EC1"/>
    <w:rsid w:val="005B1B79"/>
    <w:rsid w:val="005B2F2A"/>
    <w:rsid w:val="005B6F85"/>
    <w:rsid w:val="005C00A9"/>
    <w:rsid w:val="005C4078"/>
    <w:rsid w:val="005C74D1"/>
    <w:rsid w:val="005C7C7C"/>
    <w:rsid w:val="005D0735"/>
    <w:rsid w:val="005D37B5"/>
    <w:rsid w:val="005D49F1"/>
    <w:rsid w:val="005D5B6F"/>
    <w:rsid w:val="005D72C2"/>
    <w:rsid w:val="005D7C68"/>
    <w:rsid w:val="005E1A38"/>
    <w:rsid w:val="005E2179"/>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70027"/>
    <w:rsid w:val="00675EB3"/>
    <w:rsid w:val="00676843"/>
    <w:rsid w:val="00677228"/>
    <w:rsid w:val="006801CA"/>
    <w:rsid w:val="00682746"/>
    <w:rsid w:val="00683717"/>
    <w:rsid w:val="00684132"/>
    <w:rsid w:val="00685B75"/>
    <w:rsid w:val="006867CC"/>
    <w:rsid w:val="00690C50"/>
    <w:rsid w:val="00692EE8"/>
    <w:rsid w:val="006A04AE"/>
    <w:rsid w:val="006A25B4"/>
    <w:rsid w:val="006A4A62"/>
    <w:rsid w:val="006A7552"/>
    <w:rsid w:val="006B01B9"/>
    <w:rsid w:val="006B0439"/>
    <w:rsid w:val="006B0D10"/>
    <w:rsid w:val="006B0EC2"/>
    <w:rsid w:val="006B13D4"/>
    <w:rsid w:val="006B5383"/>
    <w:rsid w:val="006B6A37"/>
    <w:rsid w:val="006D7B5A"/>
    <w:rsid w:val="006E4913"/>
    <w:rsid w:val="006E5555"/>
    <w:rsid w:val="006F15CC"/>
    <w:rsid w:val="006F1CCA"/>
    <w:rsid w:val="006F640B"/>
    <w:rsid w:val="0070043C"/>
    <w:rsid w:val="007046FB"/>
    <w:rsid w:val="00705A61"/>
    <w:rsid w:val="007109F6"/>
    <w:rsid w:val="00715F45"/>
    <w:rsid w:val="00716604"/>
    <w:rsid w:val="0071719A"/>
    <w:rsid w:val="0071726D"/>
    <w:rsid w:val="007176A7"/>
    <w:rsid w:val="007204B4"/>
    <w:rsid w:val="00720781"/>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5577"/>
    <w:rsid w:val="00756B91"/>
    <w:rsid w:val="00771D19"/>
    <w:rsid w:val="00774584"/>
    <w:rsid w:val="007747BE"/>
    <w:rsid w:val="00781625"/>
    <w:rsid w:val="00782512"/>
    <w:rsid w:val="00785A6D"/>
    <w:rsid w:val="00792CC3"/>
    <w:rsid w:val="007947C6"/>
    <w:rsid w:val="00794CF3"/>
    <w:rsid w:val="00794E4C"/>
    <w:rsid w:val="007A0160"/>
    <w:rsid w:val="007A40C6"/>
    <w:rsid w:val="007A4F20"/>
    <w:rsid w:val="007A6AA0"/>
    <w:rsid w:val="007A6B19"/>
    <w:rsid w:val="007B3045"/>
    <w:rsid w:val="007B49DF"/>
    <w:rsid w:val="007B5296"/>
    <w:rsid w:val="007B655B"/>
    <w:rsid w:val="007B67AD"/>
    <w:rsid w:val="007B7639"/>
    <w:rsid w:val="007C00BA"/>
    <w:rsid w:val="007C18F2"/>
    <w:rsid w:val="007C1AC1"/>
    <w:rsid w:val="007C1FEC"/>
    <w:rsid w:val="007C46D1"/>
    <w:rsid w:val="007C5731"/>
    <w:rsid w:val="007E0A4B"/>
    <w:rsid w:val="007E326A"/>
    <w:rsid w:val="007F1637"/>
    <w:rsid w:val="007F1B11"/>
    <w:rsid w:val="007F4ABD"/>
    <w:rsid w:val="007F7B5C"/>
    <w:rsid w:val="00800307"/>
    <w:rsid w:val="00800365"/>
    <w:rsid w:val="00800399"/>
    <w:rsid w:val="008014EC"/>
    <w:rsid w:val="008029BA"/>
    <w:rsid w:val="008111C3"/>
    <w:rsid w:val="00812CF5"/>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6290"/>
    <w:rsid w:val="00866978"/>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3B68"/>
    <w:rsid w:val="008C5253"/>
    <w:rsid w:val="008C5686"/>
    <w:rsid w:val="008C6BFB"/>
    <w:rsid w:val="008C7321"/>
    <w:rsid w:val="008C74DA"/>
    <w:rsid w:val="008C7C59"/>
    <w:rsid w:val="008D094A"/>
    <w:rsid w:val="008D1E99"/>
    <w:rsid w:val="008D6465"/>
    <w:rsid w:val="008E150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3E57"/>
    <w:rsid w:val="00955C25"/>
    <w:rsid w:val="00956BB5"/>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3C36"/>
    <w:rsid w:val="009B51E3"/>
    <w:rsid w:val="009B7220"/>
    <w:rsid w:val="009B76CB"/>
    <w:rsid w:val="009B7D6C"/>
    <w:rsid w:val="009C1AD6"/>
    <w:rsid w:val="009C2E55"/>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C031E"/>
    <w:rsid w:val="00AC31F2"/>
    <w:rsid w:val="00AC35C4"/>
    <w:rsid w:val="00AC4154"/>
    <w:rsid w:val="00AD18B4"/>
    <w:rsid w:val="00AE117D"/>
    <w:rsid w:val="00AE1843"/>
    <w:rsid w:val="00AE23F9"/>
    <w:rsid w:val="00AE2430"/>
    <w:rsid w:val="00AE4000"/>
    <w:rsid w:val="00AE6188"/>
    <w:rsid w:val="00AE7AF0"/>
    <w:rsid w:val="00AF4AE5"/>
    <w:rsid w:val="00AF6D11"/>
    <w:rsid w:val="00B01B17"/>
    <w:rsid w:val="00B04103"/>
    <w:rsid w:val="00B047E9"/>
    <w:rsid w:val="00B05867"/>
    <w:rsid w:val="00B10EC0"/>
    <w:rsid w:val="00B123FF"/>
    <w:rsid w:val="00B134B6"/>
    <w:rsid w:val="00B142F4"/>
    <w:rsid w:val="00B17E1E"/>
    <w:rsid w:val="00B21C56"/>
    <w:rsid w:val="00B24AE7"/>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81F91"/>
    <w:rsid w:val="00B839BA"/>
    <w:rsid w:val="00B86C35"/>
    <w:rsid w:val="00B86DD8"/>
    <w:rsid w:val="00B92703"/>
    <w:rsid w:val="00B93072"/>
    <w:rsid w:val="00B97C18"/>
    <w:rsid w:val="00B97EC1"/>
    <w:rsid w:val="00BA1692"/>
    <w:rsid w:val="00BA1BBA"/>
    <w:rsid w:val="00BA2267"/>
    <w:rsid w:val="00BA2E58"/>
    <w:rsid w:val="00BA54F1"/>
    <w:rsid w:val="00BB0B67"/>
    <w:rsid w:val="00BB2970"/>
    <w:rsid w:val="00BC34F6"/>
    <w:rsid w:val="00BC4EF0"/>
    <w:rsid w:val="00BC6E99"/>
    <w:rsid w:val="00BC7C00"/>
    <w:rsid w:val="00BD1EFB"/>
    <w:rsid w:val="00BD223A"/>
    <w:rsid w:val="00BD57C8"/>
    <w:rsid w:val="00BD5879"/>
    <w:rsid w:val="00BD5A0C"/>
    <w:rsid w:val="00BD5B58"/>
    <w:rsid w:val="00BE0E15"/>
    <w:rsid w:val="00BE3D8C"/>
    <w:rsid w:val="00BE5CF2"/>
    <w:rsid w:val="00BE72E5"/>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32874"/>
    <w:rsid w:val="00C41668"/>
    <w:rsid w:val="00C44F7A"/>
    <w:rsid w:val="00C45666"/>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7AC"/>
    <w:rsid w:val="00CB089A"/>
    <w:rsid w:val="00CB0974"/>
    <w:rsid w:val="00CB72AF"/>
    <w:rsid w:val="00CB7359"/>
    <w:rsid w:val="00CC18C3"/>
    <w:rsid w:val="00CC4530"/>
    <w:rsid w:val="00CC56BB"/>
    <w:rsid w:val="00CC6CA7"/>
    <w:rsid w:val="00CD18B1"/>
    <w:rsid w:val="00CD1D5F"/>
    <w:rsid w:val="00CD28D1"/>
    <w:rsid w:val="00CD30D0"/>
    <w:rsid w:val="00CE124A"/>
    <w:rsid w:val="00CE2A97"/>
    <w:rsid w:val="00CE45DD"/>
    <w:rsid w:val="00CE4D2A"/>
    <w:rsid w:val="00CF0155"/>
    <w:rsid w:val="00CF2EC3"/>
    <w:rsid w:val="00CF3927"/>
    <w:rsid w:val="00CF44B0"/>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4D5"/>
    <w:rsid w:val="00D40A73"/>
    <w:rsid w:val="00D40EA0"/>
    <w:rsid w:val="00D4392D"/>
    <w:rsid w:val="00D45F62"/>
    <w:rsid w:val="00D513E0"/>
    <w:rsid w:val="00D5168F"/>
    <w:rsid w:val="00D524BC"/>
    <w:rsid w:val="00D546FB"/>
    <w:rsid w:val="00D71699"/>
    <w:rsid w:val="00D73493"/>
    <w:rsid w:val="00D74098"/>
    <w:rsid w:val="00D74264"/>
    <w:rsid w:val="00D74DEF"/>
    <w:rsid w:val="00D81C1F"/>
    <w:rsid w:val="00D83636"/>
    <w:rsid w:val="00D85F98"/>
    <w:rsid w:val="00D869C3"/>
    <w:rsid w:val="00D905D5"/>
    <w:rsid w:val="00D91AE1"/>
    <w:rsid w:val="00DA4689"/>
    <w:rsid w:val="00DA474C"/>
    <w:rsid w:val="00DA4891"/>
    <w:rsid w:val="00DB02C0"/>
    <w:rsid w:val="00DB0357"/>
    <w:rsid w:val="00DB79E4"/>
    <w:rsid w:val="00DC06A4"/>
    <w:rsid w:val="00DC2BF8"/>
    <w:rsid w:val="00DD7636"/>
    <w:rsid w:val="00DE3605"/>
    <w:rsid w:val="00DE3946"/>
    <w:rsid w:val="00DE44DB"/>
    <w:rsid w:val="00DE4881"/>
    <w:rsid w:val="00DE5661"/>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584C"/>
    <w:rsid w:val="00ED7431"/>
    <w:rsid w:val="00EE3BFD"/>
    <w:rsid w:val="00EE5A58"/>
    <w:rsid w:val="00EE77EC"/>
    <w:rsid w:val="00EF0CFD"/>
    <w:rsid w:val="00EF1BA6"/>
    <w:rsid w:val="00EF4866"/>
    <w:rsid w:val="00EF754F"/>
    <w:rsid w:val="00F004E9"/>
    <w:rsid w:val="00F0649C"/>
    <w:rsid w:val="00F20E61"/>
    <w:rsid w:val="00F2303B"/>
    <w:rsid w:val="00F238B5"/>
    <w:rsid w:val="00F257D4"/>
    <w:rsid w:val="00F25A44"/>
    <w:rsid w:val="00F26811"/>
    <w:rsid w:val="00F26C08"/>
    <w:rsid w:val="00F336CC"/>
    <w:rsid w:val="00F34FD9"/>
    <w:rsid w:val="00F36EA1"/>
    <w:rsid w:val="00F3743A"/>
    <w:rsid w:val="00F37FA5"/>
    <w:rsid w:val="00F40265"/>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91D8A"/>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2426"/>
    <w:rsid w:val="00FC3827"/>
    <w:rsid w:val="00FC4DD0"/>
    <w:rsid w:val="00FC6196"/>
    <w:rsid w:val="00FC654F"/>
    <w:rsid w:val="00FC77AF"/>
    <w:rsid w:val="00FD00C2"/>
    <w:rsid w:val="00FD6B02"/>
    <w:rsid w:val="00FE0F3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idelity.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fidelityinternational.com"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E820-4CA7-413D-8B7D-693E8E27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2108</Words>
  <Characters>12439</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14518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2</cp:revision>
  <cp:lastPrinted>2015-11-30T16:29:00Z</cp:lastPrinted>
  <dcterms:created xsi:type="dcterms:W3CDTF">2022-02-16T10:54:00Z</dcterms:created>
  <dcterms:modified xsi:type="dcterms:W3CDTF">2022-02-16T10:54:00Z</dcterms:modified>
</cp:coreProperties>
</file>